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0A" w:rsidRDefault="0026530A" w:rsidP="002F27CB">
      <w:pPr>
        <w:tabs>
          <w:tab w:val="left" w:pos="7000"/>
        </w:tabs>
      </w:pPr>
    </w:p>
    <w:sdt>
      <w:sdtPr>
        <w:id w:val="302117937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117396" w:rsidRDefault="008C12E6" w:rsidP="00B3415F">
          <w:pPr>
            <w:tabs>
              <w:tab w:val="left" w:pos="7000"/>
            </w:tabs>
            <w:jc w:val="right"/>
            <w:rPr>
              <w:sz w:val="48"/>
              <w:szCs w:val="4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2057400" cy="333375"/>
                <wp:effectExtent l="0" t="0" r="0" b="9525"/>
                <wp:docPr id="3" name="Obrázek 3" descr="C:\Documents and Settings\user\Plocha\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6616131" name="Picture 1" descr="C:\Documents and Settings\user\Plocha\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3415F">
            <w:t xml:space="preserve">                                              </w:t>
          </w:r>
          <w:r w:rsidR="00B3415F" w:rsidRPr="00195EF7">
            <w:rPr>
              <w:rFonts w:ascii="Verdana" w:hAnsi="Verdana"/>
              <w:b/>
            </w:rPr>
            <w:t>II.</w:t>
          </w:r>
        </w:p>
        <w:p w:rsidR="00117396" w:rsidRDefault="00117396" w:rsidP="002F27CB">
          <w:pPr>
            <w:tabs>
              <w:tab w:val="left" w:pos="7000"/>
            </w:tabs>
            <w:rPr>
              <w:sz w:val="48"/>
              <w:szCs w:val="48"/>
            </w:rPr>
          </w:pPr>
        </w:p>
        <w:p w:rsidR="00117396" w:rsidRDefault="00117396" w:rsidP="002F27CB">
          <w:pPr>
            <w:tabs>
              <w:tab w:val="left" w:pos="7000"/>
            </w:tabs>
            <w:rPr>
              <w:sz w:val="48"/>
              <w:szCs w:val="48"/>
            </w:rPr>
          </w:pPr>
        </w:p>
        <w:p w:rsidR="00117396" w:rsidRDefault="00117396" w:rsidP="002F27CB">
          <w:pPr>
            <w:tabs>
              <w:tab w:val="left" w:pos="7000"/>
            </w:tabs>
            <w:rPr>
              <w:sz w:val="48"/>
              <w:szCs w:val="48"/>
            </w:rPr>
          </w:pPr>
        </w:p>
        <w:p w:rsidR="007D1779" w:rsidRDefault="007D1779" w:rsidP="002F27CB">
          <w:pPr>
            <w:tabs>
              <w:tab w:val="left" w:pos="7000"/>
            </w:tabs>
            <w:rPr>
              <w:sz w:val="48"/>
              <w:szCs w:val="48"/>
            </w:rPr>
          </w:pPr>
        </w:p>
        <w:p w:rsidR="007D1779" w:rsidRDefault="007D1779" w:rsidP="002F27CB">
          <w:pPr>
            <w:tabs>
              <w:tab w:val="left" w:pos="7000"/>
            </w:tabs>
            <w:rPr>
              <w:sz w:val="48"/>
              <w:szCs w:val="48"/>
            </w:rPr>
          </w:pPr>
        </w:p>
        <w:p w:rsidR="007D1779" w:rsidRDefault="007D1779" w:rsidP="002F27CB">
          <w:pPr>
            <w:tabs>
              <w:tab w:val="left" w:pos="7000"/>
            </w:tabs>
            <w:rPr>
              <w:sz w:val="48"/>
              <w:szCs w:val="48"/>
            </w:rPr>
          </w:pPr>
        </w:p>
        <w:p w:rsidR="008B71F2" w:rsidRPr="00F977A4" w:rsidRDefault="008C12E6" w:rsidP="00F977A4">
          <w:pPr>
            <w:tabs>
              <w:tab w:val="left" w:pos="7000"/>
            </w:tabs>
            <w:ind w:left="357"/>
            <w:jc w:val="center"/>
            <w:rPr>
              <w:b/>
              <w:sz w:val="70"/>
              <w:szCs w:val="70"/>
            </w:rPr>
          </w:pPr>
          <w:r>
            <w:rPr>
              <w:b/>
              <w:sz w:val="70"/>
              <w:szCs w:val="70"/>
            </w:rPr>
            <w:t>Z</w:t>
          </w:r>
          <w:r w:rsidRPr="00E77A6C">
            <w:rPr>
              <w:b/>
              <w:sz w:val="70"/>
              <w:szCs w:val="70"/>
            </w:rPr>
            <w:t>práv</w:t>
          </w:r>
          <w:r>
            <w:rPr>
              <w:b/>
              <w:sz w:val="70"/>
              <w:szCs w:val="70"/>
            </w:rPr>
            <w:t>a</w:t>
          </w:r>
          <w:r w:rsidRPr="00E77A6C">
            <w:rPr>
              <w:b/>
              <w:sz w:val="70"/>
              <w:szCs w:val="70"/>
            </w:rPr>
            <w:t xml:space="preserve"> o plnění cílů Plánu odpadového hospodářství České republiky</w:t>
          </w:r>
          <w:r w:rsidR="00865315" w:rsidRPr="00F977A4">
            <w:rPr>
              <w:b/>
              <w:sz w:val="70"/>
              <w:szCs w:val="70"/>
            </w:rPr>
            <w:t xml:space="preserve"> </w:t>
          </w:r>
        </w:p>
        <w:p w:rsidR="003D0C64" w:rsidRPr="00F977A4" w:rsidRDefault="008C12E6" w:rsidP="003D0C64">
          <w:pPr>
            <w:tabs>
              <w:tab w:val="left" w:pos="7000"/>
            </w:tabs>
            <w:spacing w:after="120"/>
            <w:ind w:left="360"/>
            <w:jc w:val="center"/>
            <w:rPr>
              <w:b/>
              <w:sz w:val="70"/>
              <w:szCs w:val="70"/>
            </w:rPr>
          </w:pPr>
          <w:r w:rsidRPr="00F977A4">
            <w:rPr>
              <w:b/>
              <w:sz w:val="70"/>
              <w:szCs w:val="70"/>
            </w:rPr>
            <w:t xml:space="preserve">za období </w:t>
          </w:r>
          <w:r w:rsidR="00C1329D" w:rsidRPr="00F977A4">
            <w:rPr>
              <w:b/>
              <w:sz w:val="70"/>
              <w:szCs w:val="70"/>
            </w:rPr>
            <w:t>201</w:t>
          </w:r>
          <w:r w:rsidR="00C1329D">
            <w:rPr>
              <w:b/>
              <w:sz w:val="70"/>
              <w:szCs w:val="70"/>
            </w:rPr>
            <w:t>9</w:t>
          </w:r>
          <w:r w:rsidR="00C1329D" w:rsidRPr="00F977A4">
            <w:rPr>
              <w:b/>
              <w:sz w:val="70"/>
              <w:szCs w:val="70"/>
            </w:rPr>
            <w:t>–2020</w:t>
          </w:r>
          <w:r w:rsidRPr="00F977A4">
            <w:rPr>
              <w:b/>
              <w:sz w:val="70"/>
              <w:szCs w:val="70"/>
            </w:rPr>
            <w:t xml:space="preserve"> </w:t>
          </w:r>
        </w:p>
        <w:p w:rsidR="003D0C64" w:rsidRPr="003D0C64" w:rsidRDefault="003D0C64" w:rsidP="003D0C64">
          <w:pPr>
            <w:tabs>
              <w:tab w:val="left" w:pos="7000"/>
            </w:tabs>
            <w:spacing w:after="120"/>
            <w:ind w:left="360"/>
            <w:jc w:val="center"/>
            <w:rPr>
              <w:b/>
              <w:sz w:val="56"/>
              <w:szCs w:val="56"/>
            </w:rPr>
          </w:pPr>
        </w:p>
        <w:p w:rsidR="007E295A" w:rsidRPr="00B1202F" w:rsidRDefault="008C12E6" w:rsidP="00B1202F">
          <w:pPr>
            <w:tabs>
              <w:tab w:val="left" w:pos="7000"/>
            </w:tabs>
            <w:spacing w:after="120"/>
            <w:ind w:left="360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(</w:t>
          </w:r>
          <w:r w:rsidR="00BA106F">
            <w:rPr>
              <w:b/>
              <w:sz w:val="40"/>
              <w:szCs w:val="40"/>
            </w:rPr>
            <w:t>3</w:t>
          </w:r>
          <w:r>
            <w:rPr>
              <w:b/>
              <w:sz w:val="40"/>
              <w:szCs w:val="40"/>
            </w:rPr>
            <w:t xml:space="preserve">. </w:t>
          </w:r>
          <w:r w:rsidR="00E77A6C" w:rsidRPr="00B1202F">
            <w:rPr>
              <w:b/>
              <w:sz w:val="40"/>
              <w:szCs w:val="40"/>
            </w:rPr>
            <w:t>Hodnotící zpráva)</w:t>
          </w:r>
        </w:p>
        <w:p w:rsidR="003136A4" w:rsidRPr="007E295A" w:rsidRDefault="003136A4" w:rsidP="007944B4">
          <w:pPr>
            <w:tabs>
              <w:tab w:val="left" w:pos="7000"/>
            </w:tabs>
            <w:spacing w:after="120"/>
            <w:jc w:val="center"/>
            <w:rPr>
              <w:b/>
              <w:sz w:val="56"/>
              <w:szCs w:val="56"/>
            </w:rPr>
          </w:pPr>
        </w:p>
        <w:p w:rsidR="008B71F2" w:rsidRDefault="008B71F2"/>
        <w:p w:rsidR="00117396" w:rsidRDefault="00117396">
          <w:pPr>
            <w:spacing w:after="200" w:line="276" w:lineRule="auto"/>
            <w:jc w:val="left"/>
            <w:rPr>
              <w:b/>
              <w:sz w:val="28"/>
              <w:szCs w:val="28"/>
            </w:rPr>
          </w:pPr>
        </w:p>
        <w:p w:rsidR="00117396" w:rsidRDefault="00117396">
          <w:pPr>
            <w:spacing w:after="200" w:line="276" w:lineRule="auto"/>
            <w:jc w:val="left"/>
            <w:rPr>
              <w:b/>
              <w:sz w:val="28"/>
              <w:szCs w:val="28"/>
            </w:rPr>
          </w:pPr>
        </w:p>
        <w:p w:rsidR="00117396" w:rsidRDefault="00117396">
          <w:pPr>
            <w:spacing w:after="200" w:line="276" w:lineRule="auto"/>
            <w:jc w:val="left"/>
            <w:rPr>
              <w:b/>
              <w:sz w:val="28"/>
              <w:szCs w:val="28"/>
            </w:rPr>
          </w:pPr>
        </w:p>
        <w:p w:rsidR="00117396" w:rsidRDefault="008C12E6" w:rsidP="00117396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Ministerstvo životního prostředí</w:t>
          </w:r>
        </w:p>
        <w:p w:rsidR="008B71F2" w:rsidRDefault="008C12E6" w:rsidP="00117396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Praha,</w:t>
          </w:r>
          <w:r w:rsidR="002C2731">
            <w:rPr>
              <w:b/>
              <w:sz w:val="28"/>
              <w:szCs w:val="28"/>
            </w:rPr>
            <w:t xml:space="preserve"> </w:t>
          </w:r>
          <w:r w:rsidR="00302657">
            <w:rPr>
              <w:b/>
              <w:sz w:val="28"/>
              <w:szCs w:val="28"/>
            </w:rPr>
            <w:t>dub</w:t>
          </w:r>
          <w:r w:rsidR="00AD3D01">
            <w:rPr>
              <w:b/>
              <w:sz w:val="28"/>
              <w:szCs w:val="28"/>
            </w:rPr>
            <w:t>en</w:t>
          </w:r>
          <w:r w:rsidR="003136A4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20</w:t>
          </w:r>
          <w:r w:rsidR="00BA106F">
            <w:rPr>
              <w:b/>
              <w:sz w:val="28"/>
              <w:szCs w:val="28"/>
            </w:rPr>
            <w:t>2</w:t>
          </w:r>
          <w:r w:rsidR="00EC1904">
            <w:rPr>
              <w:b/>
              <w:sz w:val="28"/>
              <w:szCs w:val="28"/>
            </w:rPr>
            <w:t>2</w:t>
          </w:r>
          <w:r>
            <w:rPr>
              <w:b/>
              <w:sz w:val="28"/>
              <w:szCs w:val="28"/>
            </w:rPr>
            <w:br w:type="page"/>
          </w:r>
        </w:p>
      </w:sdtContent>
    </w:sdt>
    <w:p w:rsidR="008B0C52" w:rsidRPr="00FC4537" w:rsidRDefault="008C12E6" w:rsidP="00884D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FC4537">
        <w:rPr>
          <w:b/>
          <w:sz w:val="28"/>
          <w:szCs w:val="28"/>
        </w:rPr>
        <w:t>Obsah:</w:t>
      </w:r>
    </w:p>
    <w:p w:rsidR="007E5173" w:rsidRDefault="008C12E6">
      <w:pPr>
        <w:pStyle w:val="Obsah1"/>
        <w:tabs>
          <w:tab w:val="left" w:pos="440"/>
          <w:tab w:val="right" w:leader="dot" w:pos="9060"/>
        </w:tabs>
        <w:rPr>
          <w:noProof/>
          <w:sz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256000001" w:history="1">
        <w:r>
          <w:rPr>
            <w:rStyle w:val="Hypertextovodkaz"/>
          </w:rPr>
          <w:t>1</w:t>
        </w:r>
        <w:r>
          <w:rPr>
            <w:noProof/>
            <w:sz w:val="22"/>
          </w:rPr>
          <w:tab/>
        </w:r>
        <w:r>
          <w:rPr>
            <w:rStyle w:val="Hypertextovodkaz"/>
          </w:rPr>
          <w:t>Úvod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02" w:history="1">
        <w:r>
          <w:rPr>
            <w:rStyle w:val="Hypertextovodkaz"/>
          </w:rPr>
          <w:t>1.1</w:t>
        </w:r>
        <w:r>
          <w:rPr>
            <w:noProof/>
            <w:sz w:val="22"/>
          </w:rPr>
          <w:tab/>
        </w:r>
        <w:r>
          <w:rPr>
            <w:rStyle w:val="Hypertextovodkaz"/>
          </w:rPr>
          <w:t>Přehled cílů P</w:t>
        </w:r>
        <w:r w:rsidR="009B1D5A">
          <w:rPr>
            <w:rStyle w:val="Hypertextovodkaz"/>
          </w:rPr>
          <w:t xml:space="preserve">OH </w:t>
        </w:r>
        <w:r>
          <w:rPr>
            <w:rStyle w:val="Hypertextovodkaz"/>
          </w:rPr>
          <w:t>ČR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03" w:history="1">
        <w:r>
          <w:rPr>
            <w:rStyle w:val="Hypertextovodkaz"/>
          </w:rPr>
          <w:t>1.2</w:t>
        </w:r>
        <w:r>
          <w:rPr>
            <w:noProof/>
            <w:sz w:val="22"/>
          </w:rPr>
          <w:tab/>
        </w:r>
        <w:r w:rsidRPr="004A0E12">
          <w:rPr>
            <w:rStyle w:val="Hypertextovodkaz"/>
          </w:rPr>
          <w:t>Metodika hodnocení plnění cílů</w:t>
        </w:r>
        <w:r w:rsidR="005D7039" w:rsidRPr="004A0E12">
          <w:rPr>
            <w:rStyle w:val="Hypertextovodkaz"/>
          </w:rPr>
          <w:t xml:space="preserve"> </w:t>
        </w:r>
        <w:r w:rsidRPr="004A0E12">
          <w:rPr>
            <w:rStyle w:val="Hypertextovodkaz"/>
          </w:rPr>
          <w:t>POH</w:t>
        </w:r>
        <w:r w:rsidR="005D7039" w:rsidRPr="004A0E12">
          <w:rPr>
            <w:rStyle w:val="Hypertextovodkaz"/>
          </w:rPr>
          <w:t> </w:t>
        </w:r>
        <w:r w:rsidRPr="004A0E12">
          <w:rPr>
            <w:rStyle w:val="Hypertextovodkaz"/>
          </w:rPr>
          <w:t>ČR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7E5173" w:rsidRDefault="008C12E6">
      <w:pPr>
        <w:pStyle w:val="Obsah1"/>
        <w:tabs>
          <w:tab w:val="left" w:pos="440"/>
          <w:tab w:val="right" w:leader="dot" w:pos="9060"/>
        </w:tabs>
        <w:rPr>
          <w:noProof/>
          <w:sz w:val="22"/>
        </w:rPr>
      </w:pPr>
      <w:hyperlink w:anchor="_Toc256000004" w:history="1">
        <w:r>
          <w:rPr>
            <w:rStyle w:val="Hypertextovodkaz"/>
          </w:rPr>
          <w:t>2</w:t>
        </w:r>
        <w:r>
          <w:rPr>
            <w:noProof/>
            <w:sz w:val="22"/>
          </w:rPr>
          <w:tab/>
        </w:r>
        <w:r>
          <w:rPr>
            <w:rStyle w:val="Hypertextovodkaz"/>
          </w:rPr>
          <w:t>Vyhodnocení plnění POH ČR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05" w:history="1">
        <w:r>
          <w:rPr>
            <w:rStyle w:val="Hypertextovodkaz"/>
          </w:rPr>
          <w:t>2.1</w:t>
        </w:r>
        <w:r>
          <w:rPr>
            <w:noProof/>
            <w:sz w:val="22"/>
          </w:rPr>
          <w:tab/>
        </w:r>
        <w:r w:rsidRPr="00227770">
          <w:rPr>
            <w:rStyle w:val="Hypertextovodkaz"/>
          </w:rPr>
          <w:t>Soustava indikátorů odpadového hospodářství 201</w:t>
        </w:r>
        <w:r w:rsidR="00731838">
          <w:rPr>
            <w:rStyle w:val="Hypertextovodkaz"/>
          </w:rPr>
          <w:t>9</w:t>
        </w:r>
        <w:r w:rsidRPr="00227770">
          <w:rPr>
            <w:rStyle w:val="Hypertextovodkaz"/>
          </w:rPr>
          <w:t xml:space="preserve"> a 20</w:t>
        </w:r>
        <w:r w:rsidR="00731838">
          <w:rPr>
            <w:rStyle w:val="Hypertextovodkaz"/>
          </w:rPr>
          <w:t>20</w:t>
        </w:r>
        <w:r>
          <w:tab/>
        </w:r>
        <w:r>
          <w:fldChar w:fldCharType="begin"/>
        </w:r>
        <w:r>
          <w:instrText xml:space="preserve"> PAGEREF _Toc256000005 \</w:instrText>
        </w:r>
        <w:r>
          <w:instrText xml:space="preserve">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06" w:history="1">
        <w:r>
          <w:rPr>
            <w:rStyle w:val="Hypertextovodkaz"/>
          </w:rPr>
          <w:t>2.2</w:t>
        </w:r>
        <w:r>
          <w:rPr>
            <w:noProof/>
            <w:sz w:val="22"/>
          </w:rPr>
          <w:tab/>
        </w:r>
        <w:r w:rsidRPr="00144737">
          <w:rPr>
            <w:rStyle w:val="Hypertextovodkaz"/>
          </w:rPr>
          <w:t>Stav odpadového hospodářství a plnění cílů POH ČR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07" w:history="1">
        <w:r>
          <w:rPr>
            <w:rStyle w:val="Hypertextovodkaz"/>
          </w:rPr>
          <w:t>2.3</w:t>
        </w:r>
        <w:r>
          <w:rPr>
            <w:noProof/>
            <w:sz w:val="22"/>
          </w:rPr>
          <w:tab/>
        </w:r>
        <w:r w:rsidRPr="00A14BBF">
          <w:rPr>
            <w:rStyle w:val="Hypertextovodkaz"/>
          </w:rPr>
          <w:t>Shrnutí</w:t>
        </w:r>
        <w:r w:rsidR="00494572" w:rsidRPr="00A14BBF">
          <w:rPr>
            <w:rStyle w:val="Hypertextovodkaz"/>
          </w:rPr>
          <w:t xml:space="preserve"> vývoje odpadového hospodářství </w:t>
        </w:r>
        <w:r w:rsidR="00A063C0" w:rsidRPr="00A14BBF">
          <w:rPr>
            <w:rStyle w:val="Hypertextovodkaz"/>
          </w:rPr>
          <w:t xml:space="preserve">ČR </w:t>
        </w:r>
        <w:r w:rsidR="00494572" w:rsidRPr="00A14BBF">
          <w:rPr>
            <w:rStyle w:val="Hypertextovodkaz"/>
          </w:rPr>
          <w:t xml:space="preserve">v letech </w:t>
        </w:r>
        <w:r w:rsidR="00E62800" w:rsidRPr="00A14BBF">
          <w:rPr>
            <w:rStyle w:val="Hypertextovodkaz"/>
          </w:rPr>
          <w:t>2019–2020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80</w:t>
        </w:r>
        <w:r>
          <w:fldChar w:fldCharType="end"/>
        </w:r>
      </w:hyperlink>
    </w:p>
    <w:p w:rsidR="007E5173" w:rsidRDefault="008C12E6">
      <w:pPr>
        <w:pStyle w:val="Obsah3"/>
        <w:tabs>
          <w:tab w:val="left" w:pos="1320"/>
          <w:tab w:val="right" w:leader="dot" w:pos="9060"/>
        </w:tabs>
        <w:rPr>
          <w:noProof/>
          <w:sz w:val="22"/>
        </w:rPr>
      </w:pPr>
      <w:hyperlink w:anchor="_Toc256000008" w:history="1">
        <w:r>
          <w:rPr>
            <w:rStyle w:val="Hypertextovodkaz"/>
          </w:rPr>
          <w:t>2.3.1</w:t>
        </w:r>
        <w:r>
          <w:rPr>
            <w:noProof/>
            <w:sz w:val="22"/>
          </w:rPr>
          <w:tab/>
        </w:r>
        <w:r w:rsidRPr="00A14BBF">
          <w:rPr>
            <w:rStyle w:val="Hypertextovodkaz"/>
          </w:rPr>
          <w:t>Hodnocení působení implementace POH ČR na životní prostředí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82</w:t>
        </w:r>
        <w:r>
          <w:fldChar w:fldCharType="end"/>
        </w:r>
      </w:hyperlink>
    </w:p>
    <w:p w:rsidR="007E5173" w:rsidRDefault="008C12E6">
      <w:pPr>
        <w:pStyle w:val="Obsah1"/>
        <w:tabs>
          <w:tab w:val="left" w:pos="440"/>
          <w:tab w:val="right" w:leader="dot" w:pos="9060"/>
        </w:tabs>
        <w:rPr>
          <w:noProof/>
          <w:sz w:val="22"/>
        </w:rPr>
      </w:pPr>
      <w:hyperlink w:anchor="_Toc256000009" w:history="1">
        <w:r>
          <w:rPr>
            <w:rStyle w:val="Hypertextovodkaz"/>
          </w:rPr>
          <w:t>3</w:t>
        </w:r>
        <w:r>
          <w:rPr>
            <w:noProof/>
            <w:sz w:val="22"/>
          </w:rPr>
          <w:tab/>
        </w:r>
        <w:r w:rsidRPr="00A14BBF">
          <w:rPr>
            <w:rStyle w:val="Hypertextovodkaz"/>
          </w:rPr>
          <w:t>Vyh</w:t>
        </w:r>
        <w:r w:rsidR="00D66A1B" w:rsidRPr="00A14BBF">
          <w:rPr>
            <w:rStyle w:val="Hypertextovodkaz"/>
          </w:rPr>
          <w:t>odnocení plnění cílů POH ČR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83</w:t>
        </w:r>
        <w:r>
          <w:fldChar w:fldCharType="end"/>
        </w:r>
      </w:hyperlink>
    </w:p>
    <w:p w:rsidR="007E5173" w:rsidRDefault="008C12E6">
      <w:pPr>
        <w:pStyle w:val="Obsah1"/>
        <w:tabs>
          <w:tab w:val="left" w:pos="440"/>
          <w:tab w:val="right" w:leader="dot" w:pos="9060"/>
        </w:tabs>
        <w:rPr>
          <w:noProof/>
          <w:sz w:val="22"/>
        </w:rPr>
      </w:pPr>
      <w:hyperlink w:anchor="_Toc256000010" w:history="1">
        <w:r>
          <w:rPr>
            <w:rStyle w:val="Hypertextovodkaz"/>
          </w:rPr>
          <w:t>4</w:t>
        </w:r>
        <w:r>
          <w:rPr>
            <w:noProof/>
            <w:sz w:val="22"/>
          </w:rPr>
          <w:tab/>
        </w:r>
        <w:r w:rsidRPr="00A14BBF">
          <w:rPr>
            <w:rStyle w:val="Hypertextovodkaz"/>
          </w:rPr>
          <w:t>Závěr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111</w:t>
        </w:r>
        <w:r>
          <w:fldChar w:fldCharType="end"/>
        </w:r>
      </w:hyperlink>
    </w:p>
    <w:p w:rsidR="007E5173" w:rsidRDefault="008C12E6">
      <w:pPr>
        <w:pStyle w:val="Obsah1"/>
        <w:tabs>
          <w:tab w:val="left" w:pos="440"/>
          <w:tab w:val="right" w:leader="dot" w:pos="9060"/>
        </w:tabs>
        <w:rPr>
          <w:noProof/>
          <w:sz w:val="22"/>
        </w:rPr>
      </w:pPr>
      <w:hyperlink w:anchor="_Toc256000011" w:history="1">
        <w:r>
          <w:rPr>
            <w:rStyle w:val="Hypertextovodkaz"/>
          </w:rPr>
          <w:t>5</w:t>
        </w:r>
        <w:r>
          <w:rPr>
            <w:noProof/>
            <w:sz w:val="22"/>
          </w:rPr>
          <w:tab/>
        </w:r>
        <w:r w:rsidRPr="00A14BBF">
          <w:rPr>
            <w:rStyle w:val="Hypertextovodkaz"/>
          </w:rPr>
          <w:t>Doporučení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113</w:t>
        </w:r>
        <w:r>
          <w:fldChar w:fldCharType="end"/>
        </w:r>
      </w:hyperlink>
    </w:p>
    <w:p w:rsidR="007E5173" w:rsidRDefault="008C12E6">
      <w:pPr>
        <w:pStyle w:val="Obsah1"/>
        <w:tabs>
          <w:tab w:val="left" w:pos="440"/>
          <w:tab w:val="right" w:leader="dot" w:pos="9060"/>
        </w:tabs>
        <w:rPr>
          <w:noProof/>
          <w:sz w:val="22"/>
        </w:rPr>
      </w:pPr>
      <w:hyperlink w:anchor="_Toc256000012" w:history="1">
        <w:r>
          <w:rPr>
            <w:rStyle w:val="Hypertextovodkaz"/>
          </w:rPr>
          <w:t>6</w:t>
        </w:r>
        <w:r>
          <w:rPr>
            <w:noProof/>
            <w:sz w:val="22"/>
          </w:rPr>
          <w:tab/>
        </w:r>
        <w:r w:rsidRPr="00A14BBF">
          <w:rPr>
            <w:rStyle w:val="Hypertextovodkaz"/>
          </w:rPr>
          <w:t>Příloha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114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13" w:history="1">
        <w:r>
          <w:rPr>
            <w:rStyle w:val="Hypertextovodkaz"/>
          </w:rPr>
          <w:t>6.1</w:t>
        </w:r>
        <w:r>
          <w:rPr>
            <w:noProof/>
            <w:sz w:val="22"/>
          </w:rPr>
          <w:tab/>
        </w:r>
        <w:r>
          <w:rPr>
            <w:rStyle w:val="Hypertextovodkaz"/>
          </w:rPr>
          <w:t xml:space="preserve">Seznam projektů </w:t>
        </w:r>
        <w:r w:rsidR="00397A1E">
          <w:rPr>
            <w:rStyle w:val="Hypertextovodkaz"/>
          </w:rPr>
          <w:t>v odpadovém hospodářství</w:t>
        </w:r>
        <w:r w:rsidR="006663E4">
          <w:rPr>
            <w:rStyle w:val="Hypertextovodkaz"/>
          </w:rPr>
          <w:t xml:space="preserve"> </w:t>
        </w:r>
        <w:r w:rsidR="00C1329D">
          <w:rPr>
            <w:rStyle w:val="Hypertextovodkaz"/>
          </w:rPr>
          <w:t>2019–2020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114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14" w:history="1">
        <w:r>
          <w:rPr>
            <w:rStyle w:val="Hypertextovodkaz"/>
          </w:rPr>
          <w:t>6.2</w:t>
        </w:r>
        <w:r>
          <w:rPr>
            <w:noProof/>
            <w:sz w:val="22"/>
          </w:rPr>
          <w:tab/>
        </w:r>
        <w:r>
          <w:rPr>
            <w:rStyle w:val="Hypertextovodkaz"/>
          </w:rPr>
          <w:t>Seznam tabulek a grafů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121</w:t>
        </w:r>
        <w:r>
          <w:fldChar w:fldCharType="end"/>
        </w:r>
      </w:hyperlink>
    </w:p>
    <w:p w:rsidR="007E5173" w:rsidRDefault="008C12E6">
      <w:pPr>
        <w:pStyle w:val="Obsah2"/>
        <w:tabs>
          <w:tab w:val="left" w:pos="880"/>
          <w:tab w:val="right" w:leader="dot" w:pos="9060"/>
        </w:tabs>
        <w:rPr>
          <w:noProof/>
          <w:sz w:val="22"/>
        </w:rPr>
      </w:pPr>
      <w:hyperlink w:anchor="_Toc256000015" w:history="1">
        <w:r>
          <w:rPr>
            <w:rStyle w:val="Hypertextovodkaz"/>
          </w:rPr>
          <w:t>6.3</w:t>
        </w:r>
        <w:r>
          <w:rPr>
            <w:noProof/>
            <w:sz w:val="22"/>
          </w:rPr>
          <w:tab/>
        </w:r>
        <w:r>
          <w:rPr>
            <w:rStyle w:val="Hypertextovodkaz"/>
          </w:rPr>
          <w:t>Seznam zkratek</w:t>
        </w:r>
        <w:r>
          <w:tab/>
        </w:r>
        <w:r>
          <w:fldChar w:fldCharType="begin"/>
        </w:r>
        <w:r>
          <w:instrText xml:space="preserve"> PAGEREF _Toc256000</w:instrText>
        </w:r>
        <w:r>
          <w:instrText xml:space="preserve">015 \h </w:instrText>
        </w:r>
        <w:r>
          <w:fldChar w:fldCharType="separate"/>
        </w:r>
        <w:r>
          <w:t>123</w:t>
        </w:r>
        <w:r>
          <w:fldChar w:fldCharType="end"/>
        </w:r>
      </w:hyperlink>
    </w:p>
    <w:p w:rsidR="008F5381" w:rsidRDefault="008C12E6" w:rsidP="00880530">
      <w:pPr>
        <w:pStyle w:val="Nadpis1"/>
        <w:numPr>
          <w:ilvl w:val="0"/>
          <w:numId w:val="0"/>
        </w:numPr>
      </w:pPr>
      <w:r>
        <w:fldChar w:fldCharType="end"/>
      </w:r>
      <w:r w:rsidR="002E0494">
        <w:t xml:space="preserve"> </w:t>
      </w:r>
    </w:p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7E295A" w:rsidRDefault="007E295A" w:rsidP="007E295A"/>
    <w:p w:rsidR="00E73199" w:rsidRPr="0038748D" w:rsidRDefault="008C12E6" w:rsidP="00E73199">
      <w:pPr>
        <w:spacing w:after="120" w:line="276" w:lineRule="auto"/>
        <w:rPr>
          <w:rFonts w:cs="Calibri"/>
          <w:b/>
        </w:rPr>
      </w:pPr>
      <w:r w:rsidRPr="0038748D">
        <w:rPr>
          <w:rFonts w:cs="Calibri"/>
          <w:b/>
        </w:rPr>
        <w:t>Zpracovatelé:</w:t>
      </w:r>
    </w:p>
    <w:p w:rsidR="00B658F0" w:rsidRPr="0038748D" w:rsidRDefault="008C12E6" w:rsidP="00E73199">
      <w:pPr>
        <w:spacing w:after="120" w:line="276" w:lineRule="auto"/>
        <w:rPr>
          <w:rFonts w:cs="Calibri"/>
        </w:rPr>
      </w:pPr>
      <w:r w:rsidRPr="0038748D">
        <w:rPr>
          <w:rFonts w:cs="Calibri"/>
        </w:rPr>
        <w:t>Ministerstvo životního prostředí, odbor odpadů</w:t>
      </w:r>
    </w:p>
    <w:p w:rsidR="008F5381" w:rsidRPr="0038748D" w:rsidRDefault="008C12E6" w:rsidP="00E73199">
      <w:pPr>
        <w:spacing w:after="120" w:line="276" w:lineRule="auto"/>
        <w:rPr>
          <w:rFonts w:cs="Calibri"/>
        </w:rPr>
      </w:pPr>
      <w:r w:rsidRPr="0038748D">
        <w:rPr>
          <w:rFonts w:cs="Calibri"/>
        </w:rPr>
        <w:t>CENIA, česká informační agentura životního prostředí</w:t>
      </w:r>
      <w:r w:rsidR="00B658F0" w:rsidRPr="0038748D">
        <w:rPr>
          <w:rFonts w:cs="Calibri"/>
        </w:rPr>
        <w:t xml:space="preserve"> (zpracovatel dat)</w:t>
      </w:r>
      <w:r w:rsidRPr="0038748D">
        <w:rPr>
          <w:rFonts w:cs="Calibri"/>
        </w:rPr>
        <w:t xml:space="preserve">  </w:t>
      </w:r>
    </w:p>
    <w:p w:rsidR="008F5381" w:rsidRPr="0038748D" w:rsidRDefault="008F5381" w:rsidP="00E73199">
      <w:pPr>
        <w:spacing w:after="120" w:line="276" w:lineRule="auto"/>
        <w:rPr>
          <w:rFonts w:cs="Calibri"/>
        </w:rPr>
      </w:pPr>
    </w:p>
    <w:p w:rsidR="00E73199" w:rsidRPr="0038748D" w:rsidRDefault="008C12E6" w:rsidP="00E73199">
      <w:pPr>
        <w:spacing w:after="120" w:line="276" w:lineRule="auto"/>
        <w:rPr>
          <w:rFonts w:cs="Calibri"/>
        </w:rPr>
      </w:pPr>
      <w:r w:rsidRPr="0038748D">
        <w:rPr>
          <w:rFonts w:cs="Calibri"/>
          <w:b/>
        </w:rPr>
        <w:t>Autoři</w:t>
      </w:r>
      <w:r w:rsidRPr="0038748D">
        <w:rPr>
          <w:rFonts w:cs="Calibri"/>
        </w:rPr>
        <w:t>:</w:t>
      </w:r>
    </w:p>
    <w:p w:rsidR="00861845" w:rsidRDefault="008C12E6" w:rsidP="00E658F2">
      <w:pPr>
        <w:spacing w:after="120" w:line="276" w:lineRule="auto"/>
        <w:rPr>
          <w:rFonts w:cs="Calibri"/>
        </w:rPr>
      </w:pPr>
      <w:r w:rsidRPr="0038748D">
        <w:rPr>
          <w:rFonts w:cs="Calibri"/>
        </w:rPr>
        <w:t>Gabriela Bulková</w:t>
      </w:r>
      <w:r w:rsidR="00BA106F">
        <w:rPr>
          <w:rFonts w:cs="Calibri"/>
        </w:rPr>
        <w:t xml:space="preserve">, </w:t>
      </w:r>
      <w:r w:rsidR="00175471" w:rsidRPr="0038748D">
        <w:rPr>
          <w:rFonts w:cs="Calibri"/>
        </w:rPr>
        <w:t xml:space="preserve">Petra </w:t>
      </w:r>
      <w:r w:rsidR="00BA106F">
        <w:rPr>
          <w:rFonts w:cs="Calibri"/>
        </w:rPr>
        <w:t>Urbanová</w:t>
      </w:r>
      <w:r w:rsidR="00175471" w:rsidRPr="0038748D">
        <w:rPr>
          <w:rFonts w:cs="Calibri"/>
        </w:rPr>
        <w:t xml:space="preserve">, </w:t>
      </w:r>
      <w:r w:rsidR="00731838" w:rsidRPr="0038748D">
        <w:rPr>
          <w:rFonts w:cs="Calibri"/>
        </w:rPr>
        <w:t>Vlastislav Kotrč</w:t>
      </w:r>
      <w:r w:rsidR="00731838">
        <w:rPr>
          <w:rFonts w:cs="Calibri"/>
        </w:rPr>
        <w:t xml:space="preserve">, </w:t>
      </w:r>
      <w:r w:rsidR="005E313C" w:rsidRPr="00731838">
        <w:rPr>
          <w:rFonts w:cs="Calibri"/>
        </w:rPr>
        <w:t>Martina</w:t>
      </w:r>
      <w:r w:rsidR="005E313C">
        <w:rPr>
          <w:rFonts w:cs="Calibri"/>
        </w:rPr>
        <w:t xml:space="preserve"> </w:t>
      </w:r>
      <w:proofErr w:type="spellStart"/>
      <w:r w:rsidR="005E313C">
        <w:rPr>
          <w:rFonts w:cs="Calibri"/>
        </w:rPr>
        <w:t>Foytlová</w:t>
      </w:r>
      <w:proofErr w:type="spellEnd"/>
      <w:r w:rsidR="005E313C">
        <w:rPr>
          <w:rFonts w:cs="Calibri"/>
        </w:rPr>
        <w:t xml:space="preserve">, </w:t>
      </w:r>
      <w:r w:rsidR="00BA106F" w:rsidRPr="00731838">
        <w:rPr>
          <w:rFonts w:cs="Calibri"/>
        </w:rPr>
        <w:t>Ondřej Vokál</w:t>
      </w:r>
      <w:r w:rsidR="004C31B4">
        <w:rPr>
          <w:rFonts w:cs="Calibri"/>
        </w:rPr>
        <w:t>,</w:t>
      </w:r>
    </w:p>
    <w:p w:rsidR="008F5381" w:rsidRDefault="008C12E6" w:rsidP="00E658F2">
      <w:pPr>
        <w:spacing w:after="120" w:line="276" w:lineRule="auto"/>
        <w:rPr>
          <w:rFonts w:cs="Calibri"/>
        </w:rPr>
      </w:pPr>
      <w:r>
        <w:rPr>
          <w:rFonts w:cs="Calibri"/>
        </w:rPr>
        <w:t xml:space="preserve">Jan </w:t>
      </w:r>
      <w:proofErr w:type="spellStart"/>
      <w:r>
        <w:rPr>
          <w:rFonts w:cs="Calibri"/>
        </w:rPr>
        <w:t>Maršák</w:t>
      </w:r>
      <w:proofErr w:type="spellEnd"/>
      <w:r>
        <w:rPr>
          <w:rFonts w:cs="Calibri"/>
        </w:rPr>
        <w:t xml:space="preserve"> </w:t>
      </w:r>
      <w:r w:rsidR="00782C25">
        <w:rPr>
          <w:rFonts w:cs="Calibri"/>
        </w:rPr>
        <w:t xml:space="preserve"> </w:t>
      </w:r>
    </w:p>
    <w:p w:rsidR="008F5381" w:rsidRDefault="008F5381" w:rsidP="005073F3">
      <w:pPr>
        <w:spacing w:after="120"/>
        <w:rPr>
          <w:rFonts w:cs="Calibri"/>
        </w:rPr>
      </w:pPr>
    </w:p>
    <w:p w:rsidR="002E0494" w:rsidRDefault="002E0494" w:rsidP="005073F3">
      <w:pPr>
        <w:spacing w:after="120"/>
        <w:rPr>
          <w:rFonts w:cs="Calibri"/>
        </w:rPr>
      </w:pPr>
    </w:p>
    <w:p w:rsidR="0083272C" w:rsidRDefault="0083272C" w:rsidP="005073F3">
      <w:pPr>
        <w:spacing w:after="120"/>
        <w:rPr>
          <w:rFonts w:cs="Calibri"/>
        </w:rPr>
      </w:pPr>
    </w:p>
    <w:p w:rsidR="0083272C" w:rsidRDefault="0083272C" w:rsidP="005073F3">
      <w:pPr>
        <w:spacing w:after="120"/>
        <w:rPr>
          <w:rFonts w:cs="Calibri"/>
        </w:rPr>
      </w:pPr>
    </w:p>
    <w:p w:rsidR="0083272C" w:rsidRDefault="0083272C" w:rsidP="005073F3">
      <w:pPr>
        <w:spacing w:after="120"/>
        <w:rPr>
          <w:rFonts w:cs="Calibri"/>
        </w:rPr>
      </w:pPr>
    </w:p>
    <w:p w:rsidR="00801984" w:rsidRDefault="00801984" w:rsidP="005073F3">
      <w:pPr>
        <w:spacing w:after="120"/>
        <w:rPr>
          <w:rFonts w:cs="Calibri"/>
        </w:rPr>
      </w:pPr>
    </w:p>
    <w:p w:rsidR="00801984" w:rsidRDefault="00801984" w:rsidP="005073F3">
      <w:pPr>
        <w:spacing w:after="120"/>
        <w:rPr>
          <w:rFonts w:cs="Calibri"/>
        </w:rPr>
      </w:pPr>
    </w:p>
    <w:p w:rsidR="00801984" w:rsidRDefault="00801984" w:rsidP="005073F3">
      <w:pPr>
        <w:spacing w:after="120"/>
        <w:rPr>
          <w:rFonts w:cs="Calibri"/>
        </w:rPr>
      </w:pPr>
    </w:p>
    <w:p w:rsidR="00BF604B" w:rsidRDefault="00BF604B" w:rsidP="005073F3">
      <w:pPr>
        <w:spacing w:after="120"/>
        <w:rPr>
          <w:rFonts w:cs="Calibri"/>
        </w:rPr>
      </w:pPr>
    </w:p>
    <w:p w:rsidR="00BF604B" w:rsidRDefault="00BF604B" w:rsidP="005073F3">
      <w:pPr>
        <w:spacing w:after="120"/>
        <w:rPr>
          <w:rFonts w:cs="Calibri"/>
        </w:rPr>
      </w:pPr>
    </w:p>
    <w:p w:rsidR="00BF604B" w:rsidRDefault="00BF604B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</w:p>
    <w:p w:rsidR="007E295A" w:rsidRDefault="007E295A" w:rsidP="005073F3">
      <w:pPr>
        <w:spacing w:after="120"/>
        <w:rPr>
          <w:rFonts w:cs="Calibri"/>
        </w:rPr>
      </w:pPr>
      <w:bookmarkStart w:id="0" w:name="_GoBack"/>
      <w:bookmarkEnd w:id="0"/>
    </w:p>
    <w:p w:rsidR="00BC58FE" w:rsidRDefault="008C12E6">
      <w:pPr>
        <w:spacing w:after="200" w:line="276" w:lineRule="auto"/>
        <w:jc w:val="left"/>
        <w:rPr>
          <w:rFonts w:cs="Calibri"/>
        </w:rPr>
      </w:pPr>
      <w:r>
        <w:rPr>
          <w:rFonts w:cs="Calibri"/>
        </w:rPr>
        <w:br w:type="page"/>
      </w:r>
    </w:p>
    <w:p w:rsidR="002E0494" w:rsidRDefault="008C12E6" w:rsidP="002E0494">
      <w:pPr>
        <w:pStyle w:val="Nadpis1"/>
      </w:pPr>
      <w:bookmarkStart w:id="1" w:name="_Toc256000001"/>
      <w:r>
        <w:lastRenderedPageBreak/>
        <w:t>Úvod</w:t>
      </w:r>
      <w:bookmarkEnd w:id="1"/>
    </w:p>
    <w:p w:rsidR="002E0494" w:rsidRDefault="002E0494" w:rsidP="005073F3">
      <w:pPr>
        <w:spacing w:after="120"/>
        <w:rPr>
          <w:rFonts w:cs="Calibri"/>
        </w:rPr>
      </w:pPr>
    </w:p>
    <w:p w:rsidR="00835C2B" w:rsidRPr="00390041" w:rsidRDefault="008C12E6" w:rsidP="00835C2B">
      <w:pPr>
        <w:autoSpaceDE w:val="0"/>
        <w:autoSpaceDN w:val="0"/>
        <w:adjustRightInd w:val="0"/>
        <w:spacing w:after="120" w:line="276" w:lineRule="auto"/>
        <w:rPr>
          <w:rFonts w:ascii="Calibri" w:hAnsi="Calibri" w:cs="Tahoma"/>
          <w:bCs/>
        </w:rPr>
      </w:pPr>
      <w:r w:rsidRPr="00390041">
        <w:rPr>
          <w:rFonts w:ascii="Calibri" w:hAnsi="Calibri" w:cs="Tahoma"/>
          <w:bCs/>
        </w:rPr>
        <w:t>P</w:t>
      </w:r>
      <w:r w:rsidR="0028218E" w:rsidRPr="00390041">
        <w:rPr>
          <w:rFonts w:ascii="Calibri" w:hAnsi="Calibri" w:cs="Tahoma"/>
          <w:bCs/>
        </w:rPr>
        <w:t xml:space="preserve">lán odpadového hospodářství České republiky pro období </w:t>
      </w:r>
      <w:r w:rsidR="002A62D4" w:rsidRPr="00390041">
        <w:rPr>
          <w:rFonts w:ascii="Calibri" w:hAnsi="Calibri" w:cs="Tahoma"/>
          <w:bCs/>
        </w:rPr>
        <w:t>2015–2024</w:t>
      </w:r>
      <w:r w:rsidR="0028218E" w:rsidRPr="00390041">
        <w:rPr>
          <w:rFonts w:ascii="Calibri" w:hAnsi="Calibri" w:cs="Tahoma"/>
          <w:bCs/>
        </w:rPr>
        <w:t xml:space="preserve"> (</w:t>
      </w:r>
      <w:r w:rsidR="008D277D" w:rsidRPr="00390041">
        <w:rPr>
          <w:rFonts w:ascii="Calibri" w:hAnsi="Calibri" w:cs="Tahoma"/>
          <w:bCs/>
        </w:rPr>
        <w:t>dále jen „</w:t>
      </w:r>
      <w:r w:rsidR="0028218E" w:rsidRPr="00390041">
        <w:rPr>
          <w:rFonts w:ascii="Calibri" w:hAnsi="Calibri" w:cs="Tahoma"/>
          <w:bCs/>
        </w:rPr>
        <w:t>POH ČR</w:t>
      </w:r>
      <w:r w:rsidR="008D277D" w:rsidRPr="00390041">
        <w:rPr>
          <w:rFonts w:ascii="Calibri" w:hAnsi="Calibri" w:cs="Tahoma"/>
          <w:bCs/>
        </w:rPr>
        <w:t>“</w:t>
      </w:r>
      <w:r w:rsidR="0028218E" w:rsidRPr="00390041">
        <w:rPr>
          <w:rFonts w:ascii="Calibri" w:hAnsi="Calibri" w:cs="Tahoma"/>
          <w:bCs/>
        </w:rPr>
        <w:t>) byl vládou ČR schválen dne 22. prosince 2014. Závazná část Plánu odpadového hospodářství byla dne 31.</w:t>
      </w:r>
      <w:r w:rsidR="00E50431" w:rsidRPr="00390041">
        <w:rPr>
          <w:rFonts w:ascii="Calibri" w:hAnsi="Calibri" w:cs="Tahoma"/>
          <w:bCs/>
        </w:rPr>
        <w:t> </w:t>
      </w:r>
      <w:r w:rsidR="0028218E" w:rsidRPr="00390041">
        <w:rPr>
          <w:rFonts w:ascii="Calibri" w:hAnsi="Calibri" w:cs="Tahoma"/>
          <w:bCs/>
        </w:rPr>
        <w:t>prosince 2014 vyhlášena ve Sbírce zákonů prostřednictvím nařízení vlády č.</w:t>
      </w:r>
      <w:r w:rsidR="00E85585" w:rsidRPr="00390041">
        <w:rPr>
          <w:rFonts w:ascii="Calibri" w:hAnsi="Calibri" w:cs="Tahoma"/>
          <w:bCs/>
        </w:rPr>
        <w:t> </w:t>
      </w:r>
      <w:r w:rsidR="0028218E" w:rsidRPr="00390041">
        <w:rPr>
          <w:rFonts w:ascii="Calibri" w:hAnsi="Calibri" w:cs="Tahoma"/>
          <w:bCs/>
        </w:rPr>
        <w:t>352/2014 Sb. Toto nařízení vlády nabylo účinnosti dnem 1. ledna 2015.</w:t>
      </w:r>
    </w:p>
    <w:p w:rsidR="00835C2B" w:rsidRPr="00390041" w:rsidRDefault="008C12E6" w:rsidP="00835C2B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>Plán odpadového hospodářství Če</w:t>
      </w:r>
      <w:r w:rsidRPr="00390041">
        <w:rPr>
          <w:rFonts w:ascii="Calibri" w:hAnsi="Calibri" w:cs="Calibri"/>
          <w:color w:val="000000"/>
          <w:szCs w:val="24"/>
        </w:rPr>
        <w:t>ské republiky je nástroj pro řízení odpadového hospodářství ČR. Plán představuje klíčový dokument pro realizaci dlouhodobé strategie nakládání s odpady, obalovými odpady a výrobky s ukončenou životností. Hlavními cíli strategie je předcházení vzniku odpadů</w:t>
      </w:r>
      <w:r w:rsidR="00904CDD" w:rsidRPr="00390041">
        <w:rPr>
          <w:rFonts w:ascii="Calibri" w:hAnsi="Calibri" w:cs="Calibri"/>
          <w:color w:val="000000"/>
          <w:szCs w:val="24"/>
        </w:rPr>
        <w:t xml:space="preserve">, </w:t>
      </w:r>
      <w:r w:rsidRPr="00390041">
        <w:rPr>
          <w:rFonts w:ascii="Calibri" w:hAnsi="Calibri" w:cs="Calibri"/>
          <w:color w:val="000000"/>
          <w:szCs w:val="24"/>
        </w:rPr>
        <w:t>zvýšení recyklace a materiálového využití odpadů</w:t>
      </w:r>
      <w:r w:rsidR="00904CDD" w:rsidRPr="00390041">
        <w:rPr>
          <w:rFonts w:ascii="Calibri" w:hAnsi="Calibri" w:cs="Calibri"/>
          <w:color w:val="000000"/>
          <w:szCs w:val="24"/>
        </w:rPr>
        <w:t xml:space="preserve"> a přechod na oběhové hospodářství</w:t>
      </w:r>
      <w:r w:rsidRPr="00390041">
        <w:rPr>
          <w:rFonts w:ascii="Calibri" w:hAnsi="Calibri" w:cs="Calibri"/>
          <w:color w:val="000000"/>
          <w:szCs w:val="24"/>
        </w:rPr>
        <w:t>. Součástí POH</w:t>
      </w:r>
      <w:r w:rsidR="005504FE" w:rsidRPr="00390041">
        <w:rPr>
          <w:rFonts w:ascii="Calibri" w:hAnsi="Calibri" w:cs="Calibri"/>
          <w:color w:val="000000"/>
          <w:szCs w:val="24"/>
        </w:rPr>
        <w:t xml:space="preserve"> Č</w:t>
      </w:r>
      <w:r w:rsidR="00661EC7" w:rsidRPr="00390041">
        <w:rPr>
          <w:rFonts w:ascii="Calibri" w:hAnsi="Calibri" w:cs="Calibri"/>
          <w:color w:val="000000"/>
          <w:szCs w:val="24"/>
        </w:rPr>
        <w:t>R</w:t>
      </w:r>
      <w:r w:rsidRPr="00390041">
        <w:rPr>
          <w:rFonts w:ascii="Calibri" w:hAnsi="Calibri" w:cs="Calibri"/>
          <w:color w:val="000000"/>
          <w:szCs w:val="24"/>
        </w:rPr>
        <w:t xml:space="preserve"> je i</w:t>
      </w:r>
      <w:r w:rsidR="00661EC7" w:rsidRPr="00390041">
        <w:rPr>
          <w:rFonts w:ascii="Calibri" w:hAnsi="Calibri" w:cs="Calibri"/>
          <w:color w:val="000000"/>
          <w:szCs w:val="24"/>
        </w:rPr>
        <w:t> </w:t>
      </w:r>
      <w:r w:rsidRPr="00390041">
        <w:rPr>
          <w:rFonts w:ascii="Calibri" w:hAnsi="Calibri" w:cs="Calibri"/>
          <w:color w:val="000000"/>
          <w:szCs w:val="24"/>
        </w:rPr>
        <w:t xml:space="preserve">Program předcházení vzniku odpadů.  </w:t>
      </w:r>
    </w:p>
    <w:p w:rsidR="00835C2B" w:rsidRPr="00390041" w:rsidRDefault="008C12E6" w:rsidP="00835C2B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 xml:space="preserve">Podle </w:t>
      </w:r>
      <w:r w:rsidR="00661EC7" w:rsidRPr="00390041">
        <w:rPr>
          <w:rFonts w:ascii="Calibri" w:hAnsi="Calibri" w:cs="Calibri"/>
          <w:color w:val="000000"/>
          <w:szCs w:val="24"/>
        </w:rPr>
        <w:t xml:space="preserve">§ </w:t>
      </w:r>
      <w:r w:rsidR="000225DA" w:rsidRPr="00390041">
        <w:rPr>
          <w:rFonts w:ascii="Calibri" w:hAnsi="Calibri" w:cs="Calibri"/>
          <w:color w:val="000000"/>
          <w:szCs w:val="24"/>
        </w:rPr>
        <w:t>99</w:t>
      </w:r>
      <w:r w:rsidR="00661EC7" w:rsidRPr="00390041">
        <w:rPr>
          <w:rFonts w:ascii="Calibri" w:hAnsi="Calibri" w:cs="Calibri"/>
          <w:color w:val="000000"/>
          <w:szCs w:val="24"/>
        </w:rPr>
        <w:t xml:space="preserve"> </w:t>
      </w:r>
      <w:r w:rsidRPr="00390041">
        <w:rPr>
          <w:rFonts w:ascii="Calibri" w:hAnsi="Calibri" w:cs="Calibri"/>
          <w:color w:val="000000"/>
          <w:szCs w:val="24"/>
        </w:rPr>
        <w:t xml:space="preserve">zákona č. </w:t>
      </w:r>
      <w:r w:rsidR="00CF4254" w:rsidRPr="00390041">
        <w:rPr>
          <w:rFonts w:ascii="Calibri" w:hAnsi="Calibri" w:cs="Calibri"/>
          <w:color w:val="000000"/>
          <w:szCs w:val="24"/>
        </w:rPr>
        <w:t>541</w:t>
      </w:r>
      <w:r w:rsidRPr="00390041">
        <w:rPr>
          <w:rFonts w:ascii="Calibri" w:hAnsi="Calibri" w:cs="Calibri"/>
          <w:color w:val="000000"/>
          <w:szCs w:val="24"/>
        </w:rPr>
        <w:t>/20</w:t>
      </w:r>
      <w:r w:rsidR="00CF4254" w:rsidRPr="00390041">
        <w:rPr>
          <w:rFonts w:ascii="Calibri" w:hAnsi="Calibri" w:cs="Calibri"/>
          <w:color w:val="000000"/>
          <w:szCs w:val="24"/>
        </w:rPr>
        <w:t>20</w:t>
      </w:r>
      <w:r w:rsidRPr="00390041">
        <w:rPr>
          <w:rFonts w:ascii="Calibri" w:hAnsi="Calibri" w:cs="Calibri"/>
          <w:color w:val="000000"/>
          <w:szCs w:val="24"/>
        </w:rPr>
        <w:t xml:space="preserve"> Sb., o odpadech </w:t>
      </w:r>
      <w:r w:rsidR="00EA2A9E" w:rsidRPr="00390041">
        <w:rPr>
          <w:rFonts w:ascii="Calibri" w:hAnsi="Calibri" w:cs="Calibri"/>
          <w:color w:val="000000"/>
          <w:szCs w:val="24"/>
        </w:rPr>
        <w:t>(dále jen „zákon o odpadech“)</w:t>
      </w:r>
      <w:r w:rsidRPr="00390041">
        <w:rPr>
          <w:rFonts w:ascii="Calibri" w:hAnsi="Calibri" w:cs="Calibri"/>
          <w:color w:val="000000"/>
          <w:szCs w:val="24"/>
        </w:rPr>
        <w:t xml:space="preserve">, </w:t>
      </w:r>
      <w:r w:rsidR="00555D56" w:rsidRPr="00390041">
        <w:rPr>
          <w:rFonts w:ascii="Calibri" w:hAnsi="Calibri" w:cs="Calibri"/>
          <w:color w:val="000000"/>
          <w:szCs w:val="24"/>
        </w:rPr>
        <w:t>Ministerstvo životního prostředí (dále jen „MŽP“)</w:t>
      </w:r>
      <w:r w:rsidRPr="00390041">
        <w:rPr>
          <w:rFonts w:ascii="Calibri" w:hAnsi="Calibri" w:cs="Calibri"/>
          <w:color w:val="000000"/>
          <w:szCs w:val="24"/>
        </w:rPr>
        <w:t xml:space="preserve"> </w:t>
      </w:r>
      <w:r w:rsidR="00731838" w:rsidRPr="00390041">
        <w:rPr>
          <w:rFonts w:ascii="Calibri" w:hAnsi="Calibri" w:cs="Calibri"/>
          <w:color w:val="000000"/>
          <w:szCs w:val="24"/>
        </w:rPr>
        <w:t xml:space="preserve">má </w:t>
      </w:r>
      <w:r w:rsidRPr="00390041">
        <w:rPr>
          <w:rFonts w:ascii="Calibri" w:hAnsi="Calibri" w:cs="Calibri"/>
          <w:color w:val="000000"/>
          <w:szCs w:val="24"/>
        </w:rPr>
        <w:t>každoročně vyhodnoc</w:t>
      </w:r>
      <w:r w:rsidR="00731838" w:rsidRPr="00390041">
        <w:rPr>
          <w:rFonts w:ascii="Calibri" w:hAnsi="Calibri" w:cs="Calibri"/>
          <w:color w:val="000000"/>
          <w:szCs w:val="24"/>
        </w:rPr>
        <w:t xml:space="preserve">ovat </w:t>
      </w:r>
      <w:r w:rsidRPr="00390041">
        <w:rPr>
          <w:rFonts w:ascii="Calibri" w:hAnsi="Calibri" w:cs="Calibri"/>
          <w:color w:val="000000"/>
          <w:szCs w:val="24"/>
        </w:rPr>
        <w:t>pomocí Soustavy indikátorů plnění cílů Plánu odpadového hospodářství Č</w:t>
      </w:r>
      <w:r w:rsidR="00F521CD" w:rsidRPr="00390041">
        <w:rPr>
          <w:rFonts w:ascii="Calibri" w:hAnsi="Calibri" w:cs="Calibri"/>
          <w:color w:val="000000"/>
          <w:szCs w:val="24"/>
        </w:rPr>
        <w:t>R</w:t>
      </w:r>
      <w:r w:rsidR="00555D56" w:rsidRPr="00390041">
        <w:rPr>
          <w:rFonts w:ascii="Calibri" w:hAnsi="Calibri" w:cs="Calibri"/>
          <w:color w:val="000000"/>
          <w:szCs w:val="24"/>
        </w:rPr>
        <w:t xml:space="preserve"> </w:t>
      </w:r>
      <w:r w:rsidRPr="00390041">
        <w:rPr>
          <w:rFonts w:ascii="Calibri" w:hAnsi="Calibri" w:cs="Calibri"/>
          <w:color w:val="000000"/>
          <w:szCs w:val="24"/>
        </w:rPr>
        <w:t xml:space="preserve">a </w:t>
      </w:r>
      <w:r w:rsidR="00731838" w:rsidRPr="00390041">
        <w:rPr>
          <w:rFonts w:ascii="Calibri" w:hAnsi="Calibri" w:cs="Calibri"/>
          <w:color w:val="000000"/>
          <w:szCs w:val="24"/>
        </w:rPr>
        <w:t xml:space="preserve">ve dvouletých intervalech zpracovat </w:t>
      </w:r>
      <w:r w:rsidR="000225DA" w:rsidRPr="00390041">
        <w:rPr>
          <w:rFonts w:ascii="Calibri" w:hAnsi="Calibri" w:cs="Calibri"/>
          <w:color w:val="000000"/>
          <w:szCs w:val="24"/>
        </w:rPr>
        <w:t>Z</w:t>
      </w:r>
      <w:r w:rsidRPr="00390041">
        <w:rPr>
          <w:rFonts w:ascii="Calibri" w:hAnsi="Calibri" w:cs="Calibri"/>
          <w:color w:val="000000"/>
          <w:szCs w:val="24"/>
        </w:rPr>
        <w:t>právu o plnění cílů Plánu odpadového hospodářství Č</w:t>
      </w:r>
      <w:r w:rsidR="00F521CD" w:rsidRPr="00390041">
        <w:rPr>
          <w:rFonts w:ascii="Calibri" w:hAnsi="Calibri" w:cs="Calibri"/>
          <w:color w:val="000000"/>
          <w:szCs w:val="24"/>
        </w:rPr>
        <w:t>R</w:t>
      </w:r>
      <w:r w:rsidRPr="00390041">
        <w:rPr>
          <w:rFonts w:ascii="Calibri" w:hAnsi="Calibri" w:cs="Calibri"/>
          <w:color w:val="000000"/>
          <w:szCs w:val="24"/>
        </w:rPr>
        <w:t>.</w:t>
      </w:r>
    </w:p>
    <w:p w:rsidR="00731838" w:rsidRDefault="008C12E6" w:rsidP="00835C2B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>V roce 2021 probíhá aktualizace platné</w:t>
      </w:r>
      <w:r w:rsidR="000225DA" w:rsidRPr="00390041">
        <w:rPr>
          <w:rFonts w:ascii="Calibri" w:hAnsi="Calibri" w:cs="Calibri"/>
          <w:color w:val="000000"/>
          <w:szCs w:val="24"/>
        </w:rPr>
        <w:t>ho</w:t>
      </w:r>
      <w:r w:rsidRPr="00390041">
        <w:rPr>
          <w:rFonts w:ascii="Calibri" w:hAnsi="Calibri" w:cs="Calibri"/>
          <w:color w:val="000000"/>
          <w:szCs w:val="24"/>
        </w:rPr>
        <w:t xml:space="preserve"> POH ČR, která zahrnuje zakomponování nových cílů stanovených v nových právních předpisech ČR pro oblast odpadového hospodářství.</w:t>
      </w:r>
      <w:r>
        <w:rPr>
          <w:rFonts w:ascii="Calibri" w:hAnsi="Calibri" w:cs="Calibri"/>
          <w:color w:val="000000"/>
          <w:szCs w:val="24"/>
        </w:rPr>
        <w:t xml:space="preserve">  </w:t>
      </w:r>
    </w:p>
    <w:p w:rsidR="00976449" w:rsidRDefault="00976449" w:rsidP="00FB082D">
      <w:pPr>
        <w:autoSpaceDE w:val="0"/>
        <w:autoSpaceDN w:val="0"/>
        <w:adjustRightInd w:val="0"/>
        <w:jc w:val="left"/>
        <w:rPr>
          <w:rFonts w:cs="Calibri"/>
        </w:rPr>
      </w:pPr>
    </w:p>
    <w:p w:rsidR="007D1779" w:rsidRDefault="007D1779" w:rsidP="00FB082D">
      <w:pPr>
        <w:autoSpaceDE w:val="0"/>
        <w:autoSpaceDN w:val="0"/>
        <w:adjustRightInd w:val="0"/>
        <w:jc w:val="left"/>
        <w:rPr>
          <w:rFonts w:cs="Calibri"/>
        </w:rPr>
      </w:pPr>
    </w:p>
    <w:p w:rsidR="007D1779" w:rsidRDefault="008C12E6">
      <w:pPr>
        <w:spacing w:after="200" w:line="276" w:lineRule="auto"/>
        <w:jc w:val="left"/>
        <w:rPr>
          <w:rFonts w:cs="Calibri"/>
        </w:rPr>
      </w:pPr>
      <w:r>
        <w:rPr>
          <w:rFonts w:cs="Calibri"/>
        </w:rPr>
        <w:br w:type="page"/>
      </w:r>
    </w:p>
    <w:p w:rsidR="0034324E" w:rsidRDefault="008C12E6" w:rsidP="00C27DC3">
      <w:pPr>
        <w:pStyle w:val="Nadpis20"/>
        <w:ind w:left="567"/>
      </w:pPr>
      <w:bookmarkStart w:id="2" w:name="_Toc256000002"/>
      <w:r>
        <w:lastRenderedPageBreak/>
        <w:t>Přehled cílů P</w:t>
      </w:r>
      <w:r w:rsidR="009B1D5A">
        <w:t xml:space="preserve">OH </w:t>
      </w:r>
      <w:r>
        <w:t>ČR</w:t>
      </w:r>
      <w:bookmarkEnd w:id="2"/>
      <w:r>
        <w:t xml:space="preserve"> </w:t>
      </w:r>
    </w:p>
    <w:p w:rsidR="00322CEE" w:rsidRDefault="00322CEE" w:rsidP="0034324E"/>
    <w:p w:rsidR="00322CEE" w:rsidRDefault="008C12E6" w:rsidP="006F32DB">
      <w:pPr>
        <w:spacing w:after="120" w:line="276" w:lineRule="auto"/>
      </w:pPr>
      <w:r w:rsidRPr="0038748D">
        <w:t>Nařízením vlády č. 352/2014 Sb., o Plánu odpadového hospodářství České republiky</w:t>
      </w:r>
      <w:r w:rsidR="00796E87" w:rsidRPr="0038748D">
        <w:t xml:space="preserve"> </w:t>
      </w:r>
      <w:r w:rsidRPr="0038748D">
        <w:t xml:space="preserve">pro období </w:t>
      </w:r>
      <w:r w:rsidR="002A62D4" w:rsidRPr="0038748D">
        <w:t>2015</w:t>
      </w:r>
      <w:r w:rsidR="002A62D4">
        <w:t>–2024</w:t>
      </w:r>
      <w:r w:rsidRPr="0038748D">
        <w:t xml:space="preserve"> byla vyhlášena</w:t>
      </w:r>
      <w:r>
        <w:t xml:space="preserve"> závazná část POH ČR, která obsahuje </w:t>
      </w:r>
      <w:r w:rsidR="00796E87">
        <w:t>tyto cíle</w:t>
      </w:r>
      <w:r w:rsidR="000B2C57">
        <w:t>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528"/>
        <w:gridCol w:w="1447"/>
      </w:tblGrid>
      <w:tr w:rsidR="007E5173" w:rsidTr="00B51D58">
        <w:trPr>
          <w:trHeight w:val="7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B5453" w:rsidRPr="009F31B0" w:rsidRDefault="008C12E6" w:rsidP="006F32D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F31B0">
              <w:rPr>
                <w:b/>
              </w:rPr>
              <w:t>Pořa</w:t>
            </w:r>
            <w:r>
              <w:rPr>
                <w:b/>
              </w:rPr>
              <w:t>-</w:t>
            </w:r>
            <w:r w:rsidRPr="009F31B0">
              <w:rPr>
                <w:b/>
              </w:rPr>
              <w:t>dové</w:t>
            </w:r>
            <w:proofErr w:type="spellEnd"/>
            <w:r w:rsidRPr="009F31B0">
              <w:rPr>
                <w:b/>
              </w:rPr>
              <w:t xml:space="preserve"> číslo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5453" w:rsidRPr="009F31B0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9F31B0">
              <w:rPr>
                <w:b/>
              </w:rPr>
              <w:t>Umístění v </w:t>
            </w:r>
            <w:r>
              <w:rPr>
                <w:b/>
              </w:rPr>
              <w:t>kapitole</w:t>
            </w:r>
          </w:p>
          <w:p w:rsidR="009B5453" w:rsidRPr="009F31B0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POH ČR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5453" w:rsidRPr="009F31B0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9F31B0">
              <w:rPr>
                <w:b/>
              </w:rPr>
              <w:t>Definice cíle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5453" w:rsidRPr="009F31B0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9F31B0">
              <w:rPr>
                <w:b/>
              </w:rPr>
              <w:t>Typ cíle</w:t>
            </w:r>
          </w:p>
        </w:tc>
      </w:tr>
      <w:tr w:rsidR="007E5173" w:rsidTr="00B51D58">
        <w:tc>
          <w:tcPr>
            <w:tcW w:w="959" w:type="dxa"/>
            <w:tcBorders>
              <w:top w:val="single" w:sz="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3.1</w:t>
            </w: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5453" w:rsidRPr="009C09A4" w:rsidRDefault="008C12E6" w:rsidP="006F32DB">
            <w:pPr>
              <w:spacing w:line="276" w:lineRule="auto"/>
              <w:ind w:left="33"/>
              <w:rPr>
                <w:b/>
              </w:rPr>
            </w:pPr>
            <w:r w:rsidRPr="009821FB">
              <w:rPr>
                <w:b/>
                <w:szCs w:val="24"/>
              </w:rPr>
              <w:t>Předcházení vzniku odpadů a snižování měrné produkce odpadů.</w:t>
            </w:r>
          </w:p>
        </w:tc>
        <w:tc>
          <w:tcPr>
            <w:tcW w:w="1447" w:type="dxa"/>
            <w:tcBorders>
              <w:top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82162">
              <w:rPr>
                <w:b/>
              </w:rPr>
              <w:t>trategický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2.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3.1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9B5453" w:rsidRPr="001B56BA" w:rsidRDefault="008C12E6" w:rsidP="006F32DB">
            <w:pPr>
              <w:spacing w:line="276" w:lineRule="auto"/>
              <w:ind w:left="33"/>
              <w:rPr>
                <w:b/>
              </w:rPr>
            </w:pPr>
            <w:r w:rsidRPr="009821FB">
              <w:rPr>
                <w:b/>
                <w:szCs w:val="24"/>
              </w:rPr>
              <w:t xml:space="preserve">Minimalizace nepříznivých účinků </w:t>
            </w:r>
            <w:r w:rsidRPr="009821FB">
              <w:rPr>
                <w:b/>
                <w:szCs w:val="24"/>
              </w:rPr>
              <w:t>vzniku odpadů a</w:t>
            </w:r>
            <w:r>
              <w:rPr>
                <w:b/>
                <w:szCs w:val="24"/>
              </w:rPr>
              <w:t> </w:t>
            </w:r>
            <w:r w:rsidRPr="009821FB">
              <w:rPr>
                <w:b/>
                <w:szCs w:val="24"/>
              </w:rPr>
              <w:t>nakládání s nimi na lidské zdraví a životní prostředí.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82162">
              <w:rPr>
                <w:b/>
              </w:rPr>
              <w:t>trategický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3.1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ind w:left="33"/>
              <w:rPr>
                <w:b/>
              </w:rPr>
            </w:pPr>
            <w:r w:rsidRPr="009821FB">
              <w:rPr>
                <w:b/>
                <w:szCs w:val="24"/>
              </w:rPr>
              <w:t>Udržitelný rozvoj společnosti a přiblížení se</w:t>
            </w:r>
            <w:r>
              <w:rPr>
                <w:b/>
                <w:szCs w:val="24"/>
              </w:rPr>
              <w:t> </w:t>
            </w:r>
            <w:r w:rsidRPr="009821FB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 </w:t>
            </w:r>
            <w:r w:rsidRPr="009821FB">
              <w:rPr>
                <w:b/>
                <w:szCs w:val="24"/>
              </w:rPr>
              <w:t>evropské „recyklační společnosti</w:t>
            </w:r>
            <w:r>
              <w:rPr>
                <w:b/>
                <w:szCs w:val="24"/>
              </w:rPr>
              <w:t>“</w:t>
            </w:r>
            <w:r w:rsidRPr="009821FB">
              <w:rPr>
                <w:szCs w:val="24"/>
              </w:rPr>
              <w:t>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82162">
              <w:rPr>
                <w:b/>
              </w:rPr>
              <w:t>trategický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682162">
              <w:rPr>
                <w:b/>
              </w:rPr>
              <w:t>3.1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9B5453" w:rsidRPr="009821FB" w:rsidRDefault="008C12E6" w:rsidP="006F32DB">
            <w:pPr>
              <w:spacing w:line="276" w:lineRule="auto"/>
              <w:ind w:left="33"/>
              <w:rPr>
                <w:b/>
                <w:szCs w:val="24"/>
              </w:rPr>
            </w:pPr>
            <w:r w:rsidRPr="00E56313">
              <w:rPr>
                <w:b/>
                <w:szCs w:val="24"/>
              </w:rPr>
              <w:t xml:space="preserve">Maximální využívání odpadů jako náhrady primárních zdrojů a přechod na oběhové hospodářství. 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5453" w:rsidRPr="00682162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82162">
              <w:rPr>
                <w:b/>
              </w:rPr>
              <w:t>trategický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144551" w:rsidRDefault="008C12E6" w:rsidP="006F32DB">
            <w:pPr>
              <w:spacing w:line="276" w:lineRule="auto"/>
              <w:jc w:val="left"/>
            </w:pPr>
            <w:r w:rsidRPr="00144551">
              <w:t xml:space="preserve">Do roku 2015 </w:t>
            </w:r>
            <w:r>
              <w:t>zavést</w:t>
            </w:r>
            <w:r w:rsidRPr="00144551">
              <w:t xml:space="preserve"> tříděný sběr minimálně pro odpady z papíru, plastů, skla a kovů.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rPr>
          <w:trHeight w:val="1363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left"/>
            </w:pPr>
            <w:r w:rsidRPr="00696112">
              <w:t xml:space="preserve">Do roku 2020 zvýšit nejméně </w:t>
            </w:r>
            <w:r w:rsidRPr="00696112">
              <w:t>na 50 % hmotnosti celkovou úroveň přípravy k opětovnému použití a</w:t>
            </w:r>
            <w:r>
              <w:t> </w:t>
            </w:r>
            <w:r w:rsidRPr="00696112">
              <w:t>recyklaci alespoň u odpadů z materiálů jako je papír, plast, kov, sklo, pocházejících z domácností, a</w:t>
            </w:r>
            <w:r>
              <w:t> </w:t>
            </w:r>
            <w:r w:rsidRPr="00696112">
              <w:t>případně odpady jiného původu, pokud jsou tyto toky odpadů podobné odpadům z domácností.</w:t>
            </w:r>
          </w:p>
          <w:p w:rsidR="009B5453" w:rsidRDefault="008C12E6" w:rsidP="006F32DB">
            <w:pPr>
              <w:spacing w:line="276" w:lineRule="auto"/>
              <w:jc w:val="left"/>
            </w:pPr>
            <w:r>
              <w:t>Postupné hodnoty v určených letech:</w:t>
            </w:r>
          </w:p>
          <w:p w:rsidR="009B5453" w:rsidRPr="00144551" w:rsidRDefault="008C12E6" w:rsidP="006F32DB">
            <w:pPr>
              <w:spacing w:line="276" w:lineRule="auto"/>
              <w:jc w:val="left"/>
            </w:pPr>
            <w:r>
              <w:t>(</w:t>
            </w:r>
            <w:proofErr w:type="gramStart"/>
            <w:r>
              <w:t>2016 - 46</w:t>
            </w:r>
            <w:proofErr w:type="gramEnd"/>
            <w:r>
              <w:t xml:space="preserve"> %, 2018 - 48 %, 2020 - 50 %)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rPr>
          <w:trHeight w:val="959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3.3.1.1.1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29194A" w:rsidRDefault="008C12E6" w:rsidP="006F32DB">
            <w:pPr>
              <w:spacing w:line="276" w:lineRule="auto"/>
            </w:pPr>
            <w:r w:rsidRPr="008161CF">
              <w:rPr>
                <w:bCs/>
              </w:rPr>
              <w:t>Směsný komunální odpad (</w:t>
            </w:r>
            <w:r w:rsidRPr="008161CF">
              <w:t>po vytřídění materiálově využitelných složek, nebezpečných složek a biologicky rozložitelných odpadů)</w:t>
            </w:r>
            <w:r w:rsidRPr="008161CF">
              <w:rPr>
                <w:bCs/>
              </w:rPr>
              <w:t xml:space="preserve"> zejména energeticky využívat v zařízeních k tomu určených v souladu s platnou legislativou</w:t>
            </w:r>
            <w:r w:rsidRPr="008161CF">
              <w:t xml:space="preserve">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3.3.1.3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4C3F3F" w:rsidRDefault="008C12E6" w:rsidP="006F32DB">
            <w:pPr>
              <w:spacing w:line="276" w:lineRule="auto"/>
            </w:pPr>
            <w:r w:rsidRPr="00B03443">
              <w:rPr>
                <w:rFonts w:cstheme="minorHAnsi"/>
              </w:rPr>
              <w:t>Snížit maximální množství biologicky rozložitelných komunálních odpadů ukládaných na skládky tak, aby podíl této složky činil v roce 2020 nejvíce 35 % hmotnostních z celkového množství biologicky rozložitelných komunálních odpadů vyprodukovaných v roce 199</w:t>
            </w:r>
            <w:r w:rsidRPr="00B03443">
              <w:rPr>
                <w:rFonts w:cstheme="minorHAnsi"/>
              </w:rPr>
              <w:t xml:space="preserve">5. 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12094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3.3.1.4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A55CEE" w:rsidRDefault="008C12E6" w:rsidP="006F32DB">
            <w:pPr>
              <w:spacing w:line="276" w:lineRule="auto"/>
            </w:pPr>
            <w:r w:rsidRPr="00B03443">
              <w:rPr>
                <w:rFonts w:cstheme="minorHAnsi"/>
              </w:rPr>
              <w:t xml:space="preserve">Zvýšit do roku 2020 nejméně na 70 % hmotnosti míru přípravy k opětovnému použití a míru recyklace stavebních a demoličních odpadů a jiných druhů jejich materiálového využití, včetně zásypů, při nichž jsou materiály nahrazeny </w:t>
            </w:r>
            <w:r w:rsidRPr="00B03443">
              <w:rPr>
                <w:rFonts w:cstheme="minorHAnsi"/>
              </w:rPr>
              <w:t>v souladu s platnou legislativou stavebním a demoličním odpadem kategorie ostatní s výjimkou v přírodě se vyskytujících materiálů uvedených v Katalogu odpadů pod katalogovým číslem 17 05 04 (zemina a kamení).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12094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3.3.1.5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A12094" w:rsidRDefault="008C12E6" w:rsidP="006F32DB">
            <w:pPr>
              <w:spacing w:line="276" w:lineRule="auto"/>
              <w:rPr>
                <w:b/>
              </w:rPr>
            </w:pPr>
            <w:r w:rsidRPr="00095289">
              <w:rPr>
                <w:rFonts w:cstheme="minorHAnsi"/>
              </w:rPr>
              <w:t>Snižovat měrnou produkc</w:t>
            </w:r>
            <w:r w:rsidRPr="00095289">
              <w:rPr>
                <w:rFonts w:cstheme="minorHAnsi"/>
              </w:rPr>
              <w:t>i nebezpečných odpadů.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12094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3.3.1.5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095289" w:rsidRDefault="008C12E6" w:rsidP="006F32DB">
            <w:pPr>
              <w:spacing w:line="276" w:lineRule="auto"/>
              <w:rPr>
                <w:rFonts w:cstheme="minorHAnsi"/>
              </w:rPr>
            </w:pPr>
            <w:r w:rsidRPr="00B0316E">
              <w:rPr>
                <w:rFonts w:cstheme="minorHAnsi"/>
              </w:rPr>
              <w:t>Zvyšovat podíl materiálově využitých nebezpečných odpadů</w:t>
            </w:r>
            <w:r>
              <w:rPr>
                <w:rFonts w:cstheme="minorHAnsi"/>
              </w:rPr>
              <w:t>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3.3.1.5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B0316E" w:rsidRDefault="008C12E6" w:rsidP="006F32DB">
            <w:pPr>
              <w:spacing w:line="276" w:lineRule="auto"/>
              <w:rPr>
                <w:rFonts w:cstheme="minorHAnsi"/>
              </w:rPr>
            </w:pPr>
            <w:r w:rsidRPr="002C0D31">
              <w:rPr>
                <w:rFonts w:cstheme="minorHAnsi"/>
              </w:rPr>
              <w:t>Minimalizovat negativní účinky při nakládání s nebezpečnými odpady na lidské zdraví a životní prostředí.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rPr>
          <w:trHeight w:val="71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3.3.1.5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5453" w:rsidRPr="00C515B4" w:rsidRDefault="008C12E6" w:rsidP="006F32DB">
            <w:pPr>
              <w:spacing w:line="276" w:lineRule="auto"/>
              <w:jc w:val="left"/>
              <w:rPr>
                <w:rFonts w:cstheme="minorHAnsi"/>
              </w:rPr>
            </w:pPr>
            <w:r w:rsidRPr="00C515B4">
              <w:rPr>
                <w:rFonts w:cstheme="minorHAnsi"/>
              </w:rPr>
              <w:t>Odstranit staré zátěže, kde se nacházejí nebezpečné odpady.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334DF" w:rsidRDefault="008C12E6" w:rsidP="006F32DB">
            <w:pPr>
              <w:spacing w:line="276" w:lineRule="auto"/>
              <w:jc w:val="center"/>
            </w:pPr>
            <w:r w:rsidRPr="003334DF">
              <w:t>1</w:t>
            </w:r>
            <w:r>
              <w:t>4</w:t>
            </w:r>
            <w:r w:rsidRPr="003334DF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3334DF" w:rsidRDefault="008C12E6" w:rsidP="006F32DB">
            <w:pPr>
              <w:spacing w:line="276" w:lineRule="auto"/>
              <w:jc w:val="center"/>
            </w:pPr>
            <w:r w:rsidRPr="003334DF">
              <w:t>3.3.1.6.1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F75456" w:rsidRDefault="008C12E6" w:rsidP="006F32DB">
            <w:pPr>
              <w:spacing w:line="276" w:lineRule="auto"/>
            </w:pPr>
            <w:r w:rsidRPr="00F75456">
              <w:t>Zvýšit celkovou recyklaci obalů na úroveň 70 % do roku 2020.</w:t>
            </w:r>
          </w:p>
          <w:p w:rsidR="009B5453" w:rsidRPr="00F75456" w:rsidRDefault="008C12E6" w:rsidP="006F32DB">
            <w:pPr>
              <w:spacing w:line="276" w:lineRule="auto"/>
            </w:pPr>
            <w:r w:rsidRPr="00F75456">
              <w:t>Zvýšit celkové využití odpadů z obalů na úroveň 80 % do roku 2020.</w:t>
            </w:r>
          </w:p>
          <w:p w:rsidR="009B5453" w:rsidRPr="00F75456" w:rsidRDefault="008C12E6" w:rsidP="006F32DB">
            <w:pPr>
              <w:spacing w:line="276" w:lineRule="auto"/>
            </w:pPr>
            <w:r w:rsidRPr="00F75456">
              <w:t>Zvýšit recyklaci plastových obalů n</w:t>
            </w:r>
            <w:r w:rsidRPr="00F75456">
              <w:t xml:space="preserve">a úroveň 50 % do roku 2020. </w:t>
            </w:r>
          </w:p>
          <w:p w:rsidR="009B5453" w:rsidRPr="00F75456" w:rsidRDefault="008C12E6" w:rsidP="006F32DB">
            <w:pPr>
              <w:spacing w:line="276" w:lineRule="auto"/>
            </w:pPr>
            <w:r w:rsidRPr="00F75456">
              <w:t>Zvýšit recyklaci kovových obalů na úroveň 55 % do roku 2020.</w:t>
            </w:r>
          </w:p>
          <w:p w:rsidR="009B5453" w:rsidRPr="00F75456" w:rsidRDefault="008C12E6" w:rsidP="006F32DB">
            <w:pPr>
              <w:spacing w:line="276" w:lineRule="auto"/>
            </w:pPr>
            <w:r w:rsidRPr="00F75456">
              <w:t>Dosáhnout 55 % celkového využití prodejních obalů určených spotřebiteli do roku 2020.</w:t>
            </w:r>
          </w:p>
          <w:p w:rsidR="009B5453" w:rsidRPr="00C515B4" w:rsidRDefault="008C12E6" w:rsidP="006F32DB">
            <w:pPr>
              <w:spacing w:line="276" w:lineRule="auto"/>
            </w:pPr>
            <w:r w:rsidRPr="00F75456">
              <w:t>Dosáhnout 50 % recyklace prodejních obalů určených spotřebiteli do roku 2020.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12094" w:rsidRDefault="008C12E6" w:rsidP="006F32DB">
            <w:pPr>
              <w:spacing w:line="276" w:lineRule="auto"/>
              <w:jc w:val="center"/>
              <w:rPr>
                <w:b/>
              </w:rPr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t>1</w:t>
            </w:r>
            <w:r>
              <w:t>5</w:t>
            </w:r>
            <w:r w:rsidRPr="002E327E">
              <w:t>.</w:t>
            </w:r>
          </w:p>
        </w:tc>
        <w:tc>
          <w:tcPr>
            <w:tcW w:w="1276" w:type="dxa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t>3.3.1.6.1</w:t>
            </w:r>
          </w:p>
        </w:tc>
        <w:tc>
          <w:tcPr>
            <w:tcW w:w="5528" w:type="dxa"/>
            <w:vAlign w:val="center"/>
          </w:tcPr>
          <w:p w:rsidR="009B5453" w:rsidRPr="00520F20" w:rsidRDefault="008C12E6" w:rsidP="006F32DB">
            <w:pPr>
              <w:spacing w:line="276" w:lineRule="auto"/>
              <w:jc w:val="left"/>
              <w:rPr>
                <w:rFonts w:cstheme="minorHAnsi"/>
              </w:rPr>
            </w:pPr>
            <w:r w:rsidRPr="00520F20">
              <w:rPr>
                <w:rFonts w:cstheme="minorHAnsi"/>
              </w:rPr>
              <w:t xml:space="preserve">V letech </w:t>
            </w:r>
            <w:r w:rsidR="00193AA7" w:rsidRPr="00520F20">
              <w:rPr>
                <w:rFonts w:cstheme="minorHAnsi"/>
              </w:rPr>
              <w:t>201</w:t>
            </w:r>
            <w:r w:rsidR="00193AA7">
              <w:rPr>
                <w:rFonts w:cstheme="minorHAnsi"/>
              </w:rPr>
              <w:t>5</w:t>
            </w:r>
            <w:r w:rsidR="00193AA7" w:rsidRPr="00520F20">
              <w:rPr>
                <w:rFonts w:cstheme="minorHAnsi"/>
              </w:rPr>
              <w:t>–2020</w:t>
            </w:r>
            <w:r w:rsidRPr="00520F20">
              <w:rPr>
                <w:rFonts w:cstheme="minorHAnsi"/>
              </w:rPr>
              <w:t xml:space="preserve"> dosáhnout míry recyklace a</w:t>
            </w:r>
            <w:r>
              <w:rPr>
                <w:rFonts w:cstheme="minorHAnsi"/>
              </w:rPr>
              <w:t> </w:t>
            </w:r>
            <w:r w:rsidRPr="00520F20">
              <w:rPr>
                <w:rFonts w:cstheme="minorHAnsi"/>
              </w:rPr>
              <w:t xml:space="preserve">využití obalových odpadů v hodnotách uvedených v tabulce č. </w:t>
            </w:r>
            <w:r>
              <w:rPr>
                <w:rFonts w:cstheme="minorHAnsi"/>
              </w:rPr>
              <w:t>40</w:t>
            </w:r>
            <w:r w:rsidRPr="00520F20">
              <w:rPr>
                <w:rFonts w:cstheme="minorHAnsi"/>
              </w:rPr>
              <w:t>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t>Dílčí cíl</w:t>
            </w:r>
          </w:p>
        </w:tc>
      </w:tr>
      <w:tr w:rsidR="007E5173" w:rsidTr="00B51D58">
        <w:trPr>
          <w:trHeight w:val="712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t>3.3.1.6.2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2E327E" w:rsidRDefault="008C12E6" w:rsidP="006F32DB">
            <w:pPr>
              <w:spacing w:line="276" w:lineRule="auto"/>
              <w:jc w:val="left"/>
              <w:rPr>
                <w:rFonts w:cstheme="minorHAnsi"/>
              </w:rPr>
            </w:pPr>
            <w:r w:rsidRPr="00422340">
              <w:rPr>
                <w:rFonts w:cstheme="minorHAnsi"/>
              </w:rPr>
              <w:t xml:space="preserve">Dosahovat </w:t>
            </w:r>
            <w:r w:rsidRPr="00422340">
              <w:t>vysoké úrovně tříděného sběru</w:t>
            </w:r>
            <w:r w:rsidRPr="00422340">
              <w:rPr>
                <w:b/>
              </w:rPr>
              <w:t xml:space="preserve"> </w:t>
            </w:r>
            <w:r w:rsidRPr="00BB1836">
              <w:t>odpadních elektrických a elektronických zařízení.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t>1</w:t>
            </w:r>
            <w:r>
              <w:t>7</w:t>
            </w:r>
            <w:r w:rsidRPr="002E327E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t>3.3.1.6.2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5453" w:rsidRDefault="008C12E6" w:rsidP="006F32DB">
            <w:pPr>
              <w:spacing w:line="276" w:lineRule="auto"/>
              <w:rPr>
                <w:rFonts w:cs="Calibri"/>
                <w:color w:val="000000"/>
              </w:rPr>
            </w:pPr>
            <w:r>
              <w:t>Do 31. prosince 2015 d</w:t>
            </w:r>
            <w:r w:rsidRPr="00B93165">
              <w:rPr>
                <w:color w:val="000000"/>
              </w:rPr>
              <w:t xml:space="preserve">osáhnout </w:t>
            </w:r>
            <w:r>
              <w:rPr>
                <w:color w:val="000000"/>
              </w:rPr>
              <w:t>úrovně</w:t>
            </w:r>
            <w:r>
              <w:rPr>
                <w:rFonts w:cs="Calibri"/>
                <w:color w:val="000000"/>
              </w:rPr>
              <w:t xml:space="preserve"> tříděného </w:t>
            </w:r>
            <w:r>
              <w:rPr>
                <w:color w:val="000000"/>
              </w:rPr>
              <w:t>sběru</w:t>
            </w:r>
            <w:r>
              <w:rPr>
                <w:rFonts w:cs="Calibri"/>
                <w:color w:val="000000"/>
              </w:rPr>
              <w:t xml:space="preserve"> </w:t>
            </w:r>
            <w:r w:rsidRPr="00BB1836">
              <w:t>odpadních elektrických a elektronických zařízení</w:t>
            </w:r>
            <w:r w:rsidRPr="00312C8B">
              <w:rPr>
                <w:rFonts w:cs="Calibri"/>
                <w:color w:val="000000"/>
              </w:rPr>
              <w:t xml:space="preserve"> na jednoho </w:t>
            </w:r>
            <w:r w:rsidRPr="00B93165">
              <w:rPr>
                <w:rFonts w:cs="Calibri"/>
                <w:color w:val="000000"/>
              </w:rPr>
              <w:t xml:space="preserve">občana za kalendářní rok </w:t>
            </w:r>
            <w:r>
              <w:rPr>
                <w:rFonts w:cs="Calibri"/>
                <w:color w:val="000000"/>
              </w:rPr>
              <w:t xml:space="preserve">v hodnotě </w:t>
            </w:r>
            <w:r w:rsidRPr="002043B3">
              <w:rPr>
                <w:rFonts w:cs="Calibri"/>
                <w:color w:val="000000"/>
              </w:rPr>
              <w:t xml:space="preserve">uvedené v tabulce č. </w:t>
            </w:r>
            <w:r>
              <w:rPr>
                <w:rFonts w:cs="Calibri"/>
                <w:color w:val="000000"/>
              </w:rPr>
              <w:t>41</w:t>
            </w:r>
            <w:r w:rsidR="005E35A7">
              <w:rPr>
                <w:rFonts w:cs="Calibri"/>
                <w:color w:val="000000"/>
              </w:rPr>
              <w:t>.</w:t>
            </w:r>
          </w:p>
          <w:p w:rsidR="009B5453" w:rsidRPr="002E327E" w:rsidRDefault="008C12E6" w:rsidP="006F32DB">
            <w:pPr>
              <w:spacing w:line="276" w:lineRule="auto"/>
              <w:rPr>
                <w:b/>
              </w:rPr>
            </w:pPr>
            <w:r>
              <w:rPr>
                <w:rFonts w:cs="Calibri"/>
                <w:color w:val="000000"/>
              </w:rPr>
              <w:t>(d</w:t>
            </w:r>
            <w:r>
              <w:rPr>
                <w:rFonts w:cstheme="minorHAnsi"/>
                <w:color w:val="000000"/>
              </w:rPr>
              <w:t xml:space="preserve">o 31. prosince </w:t>
            </w:r>
            <w:proofErr w:type="gramStart"/>
            <w:r w:rsidR="00193AA7">
              <w:rPr>
                <w:rFonts w:cstheme="minorHAnsi"/>
                <w:color w:val="000000"/>
              </w:rPr>
              <w:t xml:space="preserve">2015 </w:t>
            </w:r>
            <w:r w:rsidR="00193AA7" w:rsidRPr="002E327E">
              <w:rPr>
                <w:rFonts w:cstheme="minorHAnsi"/>
                <w:color w:val="000000"/>
              </w:rPr>
              <w:t>&gt;</w:t>
            </w:r>
            <w:proofErr w:type="gramEnd"/>
            <w:r w:rsidRPr="002E327E">
              <w:rPr>
                <w:rFonts w:cstheme="minorHAnsi"/>
                <w:color w:val="000000"/>
                <w:lang w:val="en-US"/>
              </w:rPr>
              <w:t xml:space="preserve"> 5,5 kg /</w:t>
            </w:r>
            <w:proofErr w:type="spellStart"/>
            <w:r w:rsidRPr="002E327E">
              <w:rPr>
                <w:rFonts w:cstheme="minorHAnsi"/>
                <w:color w:val="000000"/>
                <w:lang w:val="en-US"/>
              </w:rPr>
              <w:t>obyv</w:t>
            </w:r>
            <w:proofErr w:type="spellEnd"/>
            <w:r w:rsidRPr="002E327E">
              <w:rPr>
                <w:rFonts w:cstheme="minorHAnsi"/>
                <w:color w:val="000000"/>
                <w:lang w:val="en-US"/>
              </w:rPr>
              <w:t>./</w:t>
            </w:r>
            <w:proofErr w:type="spellStart"/>
            <w:r w:rsidRPr="002E327E">
              <w:rPr>
                <w:rFonts w:cstheme="minorHAnsi"/>
                <w:color w:val="000000"/>
                <w:lang w:val="en-US"/>
              </w:rPr>
              <w:t>rok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>)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  <w:rPr>
                <w:b/>
              </w:rPr>
            </w:pPr>
            <w:r w:rsidRPr="002E327E">
              <w:t xml:space="preserve">Dílčí cíl 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lastRenderedPageBreak/>
              <w:t>1</w:t>
            </w:r>
            <w:r>
              <w:t>8</w:t>
            </w:r>
            <w:r w:rsidRPr="002E327E">
              <w:t>.</w:t>
            </w:r>
          </w:p>
        </w:tc>
        <w:tc>
          <w:tcPr>
            <w:tcW w:w="1276" w:type="dxa"/>
            <w:vAlign w:val="center"/>
          </w:tcPr>
          <w:p w:rsidR="009B5453" w:rsidRPr="002E327E" w:rsidRDefault="008C12E6" w:rsidP="006F32DB">
            <w:pPr>
              <w:spacing w:line="276" w:lineRule="auto"/>
              <w:jc w:val="center"/>
            </w:pPr>
            <w:r w:rsidRPr="002E327E">
              <w:t>3.3.1.6.2</w:t>
            </w:r>
          </w:p>
        </w:tc>
        <w:tc>
          <w:tcPr>
            <w:tcW w:w="5528" w:type="dxa"/>
            <w:vAlign w:val="center"/>
          </w:tcPr>
          <w:p w:rsidR="009B5453" w:rsidRPr="000A0A27" w:rsidRDefault="008C12E6" w:rsidP="006F32DB">
            <w:pPr>
              <w:spacing w:line="276" w:lineRule="auto"/>
              <w:rPr>
                <w:highlight w:val="yellow"/>
              </w:rPr>
            </w:pPr>
            <w:r w:rsidRPr="00B93165">
              <w:rPr>
                <w:rFonts w:cs="Calibri"/>
                <w:color w:val="000000"/>
              </w:rPr>
              <w:t xml:space="preserve">V letech </w:t>
            </w:r>
            <w:r w:rsidR="00193AA7" w:rsidRPr="00B93165">
              <w:rPr>
                <w:rFonts w:cs="Calibri"/>
                <w:color w:val="000000"/>
              </w:rPr>
              <w:t>2016–2021</w:t>
            </w:r>
            <w:r w:rsidRPr="00B93165">
              <w:rPr>
                <w:rFonts w:cs="Calibri"/>
                <w:color w:val="000000"/>
              </w:rPr>
              <w:t xml:space="preserve"> dosáhnout </w:t>
            </w:r>
            <w:r>
              <w:t xml:space="preserve">minimálních úrovní sběru </w:t>
            </w:r>
            <w:r w:rsidRPr="00BB1836">
              <w:t xml:space="preserve">odpadních elektrických a elektronických zařízení </w:t>
            </w:r>
            <w:r>
              <w:t xml:space="preserve">uvedených </w:t>
            </w:r>
            <w:r w:rsidRPr="006E307E">
              <w:t>v tabulce č. 42.</w:t>
            </w:r>
            <w:r>
              <w:t xml:space="preserve"> </w:t>
            </w:r>
            <w:r w:rsidRPr="00B93165">
              <w:rPr>
                <w:rFonts w:cs="Calibri"/>
                <w:color w:val="000000"/>
              </w:rPr>
              <w:t xml:space="preserve">  </w:t>
            </w:r>
            <w:r w:rsidRPr="002E327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4C18EE" w:rsidRDefault="008C12E6" w:rsidP="006F32DB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4C18EE" w:rsidRDefault="008C12E6" w:rsidP="006F32DB">
            <w:pPr>
              <w:spacing w:line="276" w:lineRule="auto"/>
              <w:jc w:val="center"/>
            </w:pPr>
            <w:r w:rsidRPr="004C18EE">
              <w:t>3.3.1.6.2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4C18EE" w:rsidRDefault="008C12E6" w:rsidP="006F32DB">
            <w:pPr>
              <w:spacing w:line="276" w:lineRule="auto"/>
              <w:rPr>
                <w:rFonts w:cstheme="minorHAnsi"/>
              </w:rPr>
            </w:pPr>
            <w:r w:rsidRPr="00BB1836">
              <w:rPr>
                <w:rFonts w:cstheme="minorHAnsi"/>
              </w:rPr>
              <w:t xml:space="preserve">Zajistit vysokou míru využití, </w:t>
            </w:r>
            <w:r w:rsidRPr="002C447E">
              <w:rPr>
                <w:rFonts w:cstheme="minorHAnsi"/>
              </w:rPr>
              <w:t>recyklace a přípravy k</w:t>
            </w:r>
            <w:r>
              <w:rPr>
                <w:rFonts w:cstheme="minorHAnsi"/>
              </w:rPr>
              <w:t> </w:t>
            </w:r>
            <w:r w:rsidRPr="002C447E">
              <w:rPr>
                <w:rFonts w:cstheme="minorHAnsi"/>
              </w:rPr>
              <w:t xml:space="preserve">opětovnému použití </w:t>
            </w:r>
            <w:r w:rsidRPr="002C447E">
              <w:rPr>
                <w:rFonts w:cstheme="minorHAnsi"/>
              </w:rPr>
              <w:t>elektroodpadu.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55564E" w:rsidRDefault="008C12E6" w:rsidP="006F32DB">
            <w:pPr>
              <w:spacing w:line="276" w:lineRule="auto"/>
              <w:jc w:val="center"/>
            </w:pPr>
            <w:r>
              <w:t>20</w:t>
            </w:r>
            <w:r w:rsidRPr="0055564E"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Pr="0055564E" w:rsidRDefault="008C12E6" w:rsidP="006F32DB">
            <w:pPr>
              <w:spacing w:line="276" w:lineRule="auto"/>
              <w:jc w:val="center"/>
            </w:pPr>
            <w:r w:rsidRPr="0055564E">
              <w:t>3.3.1.6.2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55564E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547026">
              <w:rPr>
                <w:rFonts w:cstheme="minorHAnsi"/>
                <w:color w:val="000000"/>
              </w:rPr>
              <w:t xml:space="preserve">V letech </w:t>
            </w:r>
            <w:r w:rsidR="00193AA7" w:rsidRPr="00547026">
              <w:rPr>
                <w:rFonts w:cstheme="minorHAnsi"/>
                <w:color w:val="000000"/>
              </w:rPr>
              <w:t>2015–2018</w:t>
            </w:r>
            <w:r w:rsidRPr="00547026">
              <w:rPr>
                <w:rFonts w:cstheme="minorHAnsi"/>
                <w:color w:val="000000"/>
              </w:rPr>
              <w:t xml:space="preserve"> dosáhnout požadovaných % využití, recyklace a </w:t>
            </w:r>
            <w:r>
              <w:t xml:space="preserve">přípravy k </w:t>
            </w:r>
            <w:r w:rsidRPr="005B6ADB">
              <w:t>opětovné</w:t>
            </w:r>
            <w:r>
              <w:t>mu</w:t>
            </w:r>
            <w:r w:rsidRPr="00547026">
              <w:rPr>
                <w:rFonts w:cstheme="minorHAnsi"/>
                <w:color w:val="000000"/>
              </w:rPr>
              <w:t xml:space="preserve"> použití z</w:t>
            </w:r>
            <w:r>
              <w:rPr>
                <w:rFonts w:cstheme="minorHAnsi"/>
                <w:color w:val="000000"/>
              </w:rPr>
              <w:t> </w:t>
            </w:r>
            <w:r w:rsidRPr="00547026">
              <w:rPr>
                <w:rFonts w:cstheme="minorHAnsi"/>
                <w:color w:val="000000"/>
              </w:rPr>
              <w:t xml:space="preserve">celkové hmotnosti zpracovávaného elektroodpadu na sebraných </w:t>
            </w:r>
            <w:r w:rsidRPr="00BB1836">
              <w:t>odpadních elektrických a elektronických zařízení</w:t>
            </w:r>
            <w:r>
              <w:t xml:space="preserve">ch </w:t>
            </w:r>
            <w:r w:rsidRPr="00547026">
              <w:rPr>
                <w:rFonts w:cstheme="minorHAnsi"/>
                <w:color w:val="000000"/>
              </w:rPr>
              <w:t xml:space="preserve">viz </w:t>
            </w:r>
            <w:r w:rsidRPr="00547026">
              <w:rPr>
                <w:rFonts w:cstheme="minorHAnsi"/>
                <w:color w:val="000000"/>
              </w:rPr>
              <w:t>tabulka č. 43.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55564E" w:rsidRDefault="008C12E6" w:rsidP="006F32DB">
            <w:pPr>
              <w:spacing w:line="276" w:lineRule="auto"/>
              <w:jc w:val="center"/>
            </w:pPr>
            <w:r>
              <w:t>Dílčí cíl</w:t>
            </w:r>
            <w:r w:rsidRPr="0055564E">
              <w:t xml:space="preserve"> 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55564E" w:rsidRDefault="008C12E6" w:rsidP="006F32DB">
            <w:pPr>
              <w:spacing w:line="276" w:lineRule="auto"/>
              <w:jc w:val="center"/>
            </w:pPr>
            <w:r>
              <w:t>21</w:t>
            </w:r>
            <w:r w:rsidRPr="0055564E">
              <w:t>.</w:t>
            </w:r>
          </w:p>
        </w:tc>
        <w:tc>
          <w:tcPr>
            <w:tcW w:w="1276" w:type="dxa"/>
            <w:vAlign w:val="center"/>
          </w:tcPr>
          <w:p w:rsidR="009B5453" w:rsidRPr="0055564E" w:rsidRDefault="008C12E6" w:rsidP="006F32DB">
            <w:pPr>
              <w:spacing w:line="276" w:lineRule="auto"/>
              <w:jc w:val="center"/>
            </w:pPr>
            <w:r w:rsidRPr="0055564E">
              <w:t>3.3.1.6.2</w:t>
            </w:r>
          </w:p>
        </w:tc>
        <w:tc>
          <w:tcPr>
            <w:tcW w:w="5528" w:type="dxa"/>
            <w:vAlign w:val="center"/>
          </w:tcPr>
          <w:p w:rsidR="009B5453" w:rsidRPr="00EE3B7B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EE3B7B">
              <w:t xml:space="preserve">Od roku 2018 dosáhnout požadované míry (%) využití, recyklace a </w:t>
            </w:r>
            <w:r>
              <w:rPr>
                <w:rFonts w:cstheme="minorHAnsi"/>
              </w:rPr>
              <w:t>přípravy k</w:t>
            </w:r>
            <w:r w:rsidRPr="00312C8B">
              <w:rPr>
                <w:rFonts w:cstheme="minorHAnsi"/>
              </w:rPr>
              <w:t xml:space="preserve"> opětovné</w:t>
            </w:r>
            <w:r>
              <w:rPr>
                <w:rFonts w:cstheme="minorHAnsi"/>
              </w:rPr>
              <w:t>mu</w:t>
            </w:r>
            <w:r w:rsidRPr="00312C8B">
              <w:rPr>
                <w:rFonts w:cstheme="minorHAnsi"/>
              </w:rPr>
              <w:t xml:space="preserve"> </w:t>
            </w:r>
            <w:r w:rsidRPr="00EE3B7B">
              <w:t xml:space="preserve">použití na celkové hmotnosti zpracovávaného elektroodpadu </w:t>
            </w:r>
            <w:r w:rsidRPr="00312C8B">
              <w:rPr>
                <w:rFonts w:cstheme="minorHAnsi"/>
              </w:rPr>
              <w:t xml:space="preserve">(sebraných </w:t>
            </w:r>
            <w:r w:rsidRPr="00BB1836">
              <w:t>odpadních elektrických a elektronických zařízení</w:t>
            </w:r>
            <w:r w:rsidRPr="00312C8B">
              <w:rPr>
                <w:rFonts w:cstheme="minorHAnsi"/>
              </w:rPr>
              <w:t>)</w:t>
            </w:r>
            <w:r w:rsidRPr="00EE3B7B">
              <w:t xml:space="preserve"> viz </w:t>
            </w:r>
            <w:r w:rsidRPr="00973919">
              <w:t>tabulka č.</w:t>
            </w:r>
            <w:r>
              <w:t> </w:t>
            </w:r>
            <w:r w:rsidRPr="00973919">
              <w:t>44.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44939" w:rsidRDefault="008C12E6" w:rsidP="006F32DB">
            <w:pPr>
              <w:spacing w:line="276" w:lineRule="auto"/>
              <w:jc w:val="center"/>
            </w:pPr>
            <w:r w:rsidRPr="00A44939">
              <w:t>2</w:t>
            </w:r>
            <w:r>
              <w:t>2</w:t>
            </w:r>
            <w:r w:rsidRPr="00A44939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A44939" w:rsidRDefault="008C12E6" w:rsidP="006F32DB">
            <w:pPr>
              <w:spacing w:line="276" w:lineRule="auto"/>
              <w:jc w:val="center"/>
            </w:pPr>
            <w:r w:rsidRPr="00A44939">
              <w:t>3.</w:t>
            </w:r>
            <w:r>
              <w:t>3</w:t>
            </w:r>
            <w:r w:rsidRPr="00A44939">
              <w:t>.1.6.3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A44939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A44939">
              <w:rPr>
                <w:rFonts w:cstheme="minorHAnsi"/>
              </w:rPr>
              <w:t>Zvýšit úroveň tříděného sběru odpadních přenosných baterií a akumulátorů.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44939" w:rsidRDefault="008C12E6" w:rsidP="006F32DB">
            <w:pPr>
              <w:spacing w:line="276" w:lineRule="auto"/>
              <w:jc w:val="center"/>
            </w:pPr>
            <w:r w:rsidRPr="00A44939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9A6205" w:rsidRDefault="008C12E6" w:rsidP="006F32DB">
            <w:pPr>
              <w:spacing w:line="276" w:lineRule="auto"/>
              <w:jc w:val="center"/>
            </w:pPr>
            <w:r w:rsidRPr="009A6205">
              <w:t>2</w:t>
            </w:r>
            <w:r>
              <w:t>3</w:t>
            </w:r>
            <w:r w:rsidRPr="009A6205">
              <w:t>.</w:t>
            </w:r>
          </w:p>
        </w:tc>
        <w:tc>
          <w:tcPr>
            <w:tcW w:w="1276" w:type="dxa"/>
            <w:vAlign w:val="center"/>
          </w:tcPr>
          <w:p w:rsidR="009B5453" w:rsidRPr="009A6205" w:rsidRDefault="008C12E6" w:rsidP="006F32DB">
            <w:pPr>
              <w:spacing w:line="276" w:lineRule="auto"/>
              <w:jc w:val="center"/>
            </w:pPr>
            <w:r w:rsidRPr="009A6205">
              <w:t>3.3.1.6.3</w:t>
            </w:r>
          </w:p>
        </w:tc>
        <w:tc>
          <w:tcPr>
            <w:tcW w:w="5528" w:type="dxa"/>
            <w:vAlign w:val="center"/>
          </w:tcPr>
          <w:p w:rsidR="009B5453" w:rsidRDefault="008C12E6" w:rsidP="006F32DB">
            <w:pPr>
              <w:spacing w:line="276" w:lineRule="auto"/>
            </w:pPr>
            <w:r w:rsidRPr="00910DA7">
              <w:t xml:space="preserve">V letech </w:t>
            </w:r>
            <w:r w:rsidR="00193AA7" w:rsidRPr="00910DA7">
              <w:t>2015–2016</w:t>
            </w:r>
            <w:r w:rsidRPr="00910DA7">
              <w:t xml:space="preserve"> dosáhnout požadovaných úrovní tříděného sběru odpadních přenosných baterií a</w:t>
            </w:r>
            <w:r>
              <w:t> </w:t>
            </w:r>
            <w:r w:rsidRPr="00910DA7">
              <w:t xml:space="preserve">akumulátorů </w:t>
            </w:r>
            <w:r w:rsidRPr="00973919">
              <w:t xml:space="preserve">viz </w:t>
            </w:r>
            <w:r w:rsidRPr="00973919">
              <w:t>tabulka č. 45.</w:t>
            </w:r>
            <w:r w:rsidRPr="00910DA7">
              <w:t xml:space="preserve"> </w:t>
            </w:r>
          </w:p>
          <w:p w:rsidR="009B5453" w:rsidRPr="009A6205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>
              <w:t>(</w:t>
            </w:r>
            <w:r w:rsidR="00193AA7">
              <w:t>2016–45</w:t>
            </w:r>
            <w:r>
              <w:t xml:space="preserve"> %)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Pr="009A6205" w:rsidRDefault="008C12E6" w:rsidP="006F32DB">
            <w:pPr>
              <w:spacing w:line="276" w:lineRule="auto"/>
              <w:jc w:val="center"/>
            </w:pPr>
            <w:r w:rsidRPr="009A620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C14F1" w:rsidRDefault="008C12E6" w:rsidP="006F32DB">
            <w:pPr>
              <w:spacing w:line="276" w:lineRule="auto"/>
              <w:jc w:val="center"/>
            </w:pPr>
            <w:r w:rsidRPr="003C14F1">
              <w:t>2</w:t>
            </w:r>
            <w:r>
              <w:t>4</w:t>
            </w:r>
            <w:r w:rsidRPr="003C14F1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3C14F1" w:rsidRDefault="008C12E6" w:rsidP="006F32DB">
            <w:pPr>
              <w:spacing w:line="276" w:lineRule="auto"/>
              <w:jc w:val="center"/>
            </w:pPr>
            <w:r w:rsidRPr="003C14F1">
              <w:t>3.3.1.6.3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82308E" w:rsidRDefault="008C12E6" w:rsidP="006F32DB">
            <w:pPr>
              <w:spacing w:line="276" w:lineRule="auto"/>
              <w:rPr>
                <w:rFonts w:cstheme="minorHAnsi"/>
              </w:rPr>
            </w:pPr>
            <w:r w:rsidRPr="0082308E">
              <w:rPr>
                <w:rFonts w:cstheme="minorHAnsi"/>
              </w:rPr>
              <w:t>Dosahovat vysoké recyklační účinnosti procesů recyklace odpadních baterií a akumulátorů.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3C14F1" w:rsidRDefault="008C12E6" w:rsidP="006F32DB">
            <w:pPr>
              <w:spacing w:line="276" w:lineRule="auto"/>
              <w:jc w:val="center"/>
            </w:pPr>
            <w:r w:rsidRPr="003C14F1">
              <w:t>2</w:t>
            </w:r>
            <w:r>
              <w:t>5</w:t>
            </w:r>
            <w:r w:rsidRPr="003C14F1">
              <w:t>.</w:t>
            </w:r>
          </w:p>
        </w:tc>
        <w:tc>
          <w:tcPr>
            <w:tcW w:w="1276" w:type="dxa"/>
            <w:vAlign w:val="center"/>
          </w:tcPr>
          <w:p w:rsidR="009B5453" w:rsidRPr="003C14F1" w:rsidRDefault="008C12E6" w:rsidP="006F32DB">
            <w:pPr>
              <w:spacing w:line="276" w:lineRule="auto"/>
              <w:jc w:val="center"/>
            </w:pPr>
            <w:r w:rsidRPr="003C14F1">
              <w:t>3.3.1.6.3</w:t>
            </w:r>
          </w:p>
        </w:tc>
        <w:tc>
          <w:tcPr>
            <w:tcW w:w="5528" w:type="dxa"/>
            <w:vAlign w:val="center"/>
          </w:tcPr>
          <w:p w:rsidR="009B5453" w:rsidRPr="0082308E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82308E">
              <w:t>Dlouhodobě dosahovat požadované recyklační účinnosti procesů recyklace odpadních baterií</w:t>
            </w:r>
            <w:r w:rsidRPr="0082308E">
              <w:t xml:space="preserve"> a</w:t>
            </w:r>
            <w:r>
              <w:t> </w:t>
            </w:r>
            <w:r w:rsidRPr="0082308E">
              <w:t xml:space="preserve">akumulátorů. Minimální recyklační účinnost pro recyklaci výstupních frakcí recyklačního procesu na celkové hmotnosti odpadních baterií nebo </w:t>
            </w:r>
            <w:r w:rsidRPr="00BF4D21">
              <w:t xml:space="preserve">akumulátorů vstupujících do recyklačního procesu viz </w:t>
            </w:r>
            <w:r w:rsidRPr="00973919">
              <w:t>tabulka č. 46.</w:t>
            </w:r>
            <w:r w:rsidRPr="0082308E">
              <w:t xml:space="preserve">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Pr="003C14F1" w:rsidRDefault="008C12E6" w:rsidP="006F32DB">
            <w:pPr>
              <w:spacing w:line="276" w:lineRule="auto"/>
              <w:jc w:val="center"/>
            </w:pPr>
            <w:r w:rsidRPr="003C14F1">
              <w:t>Dílčí cíl</w:t>
            </w:r>
          </w:p>
        </w:tc>
      </w:tr>
      <w:tr w:rsidR="007E5173" w:rsidTr="00B51D58">
        <w:trPr>
          <w:trHeight w:val="62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502D9" w:rsidRDefault="008C12E6" w:rsidP="006F32DB">
            <w:pPr>
              <w:spacing w:line="276" w:lineRule="auto"/>
              <w:jc w:val="center"/>
            </w:pPr>
            <w:r w:rsidRPr="00A502D9">
              <w:t>2</w:t>
            </w:r>
            <w:r>
              <w:t>6</w:t>
            </w:r>
            <w:r w:rsidRPr="00A502D9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A502D9" w:rsidRDefault="008C12E6" w:rsidP="006F32DB">
            <w:pPr>
              <w:spacing w:line="276" w:lineRule="auto"/>
              <w:jc w:val="center"/>
            </w:pPr>
            <w:r w:rsidRPr="00A502D9">
              <w:t>3.3.1.6.4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A502D9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227CFB">
              <w:t xml:space="preserve">Dosahovat vysoké míry využití při zpracování </w:t>
            </w:r>
            <w:r w:rsidRPr="00227CFB">
              <w:rPr>
                <w:rFonts w:cs="Calibri"/>
                <w:szCs w:val="24"/>
              </w:rPr>
              <w:t>vozidel s ukončenou životností (</w:t>
            </w:r>
            <w:r w:rsidRPr="00227CFB">
              <w:t>autovraků).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A502D9" w:rsidRDefault="008C12E6" w:rsidP="006F32DB">
            <w:pPr>
              <w:spacing w:line="276" w:lineRule="auto"/>
              <w:jc w:val="center"/>
            </w:pPr>
            <w:r w:rsidRPr="00A502D9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2C0E7F" w:rsidRDefault="008C12E6" w:rsidP="006F32DB">
            <w:pPr>
              <w:spacing w:line="276" w:lineRule="auto"/>
              <w:jc w:val="center"/>
            </w:pPr>
            <w:r w:rsidRPr="002C0E7F">
              <w:t>2</w:t>
            </w:r>
            <w:r>
              <w:t>7</w:t>
            </w:r>
            <w:r w:rsidRPr="002C0E7F">
              <w:t>.</w:t>
            </w:r>
          </w:p>
        </w:tc>
        <w:tc>
          <w:tcPr>
            <w:tcW w:w="1276" w:type="dxa"/>
            <w:vAlign w:val="center"/>
          </w:tcPr>
          <w:p w:rsidR="009B5453" w:rsidRPr="002C0E7F" w:rsidRDefault="008C12E6" w:rsidP="006F32DB">
            <w:pPr>
              <w:spacing w:line="276" w:lineRule="auto"/>
              <w:jc w:val="center"/>
            </w:pPr>
            <w:r w:rsidRPr="002C0E7F">
              <w:t>3.3.1.6.4</w:t>
            </w:r>
          </w:p>
        </w:tc>
        <w:tc>
          <w:tcPr>
            <w:tcW w:w="5528" w:type="dxa"/>
            <w:vAlign w:val="center"/>
          </w:tcPr>
          <w:p w:rsidR="009B5453" w:rsidRPr="002C0E7F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582DE2">
              <w:t xml:space="preserve">V roce 2015 a dále dosáhnout požadovaných % pro využití, recyklaci a opětovné použití při zpracování vozidel s ukončenou životností (autovraků) </w:t>
            </w:r>
            <w:r w:rsidRPr="002E7DA7">
              <w:t>viz tabulka č. 47.</w:t>
            </w:r>
            <w:r w:rsidRPr="00910DA7">
              <w:t xml:space="preserve"> </w:t>
            </w:r>
            <w:r w:rsidRPr="0082308E">
              <w:t xml:space="preserve">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Pr="002C0E7F" w:rsidRDefault="008C12E6" w:rsidP="006F32DB">
            <w:pPr>
              <w:spacing w:line="276" w:lineRule="auto"/>
              <w:jc w:val="center"/>
            </w:pPr>
            <w:r w:rsidRPr="002C0E7F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25470A" w:rsidRDefault="008C12E6" w:rsidP="006F32DB">
            <w:pPr>
              <w:spacing w:line="276" w:lineRule="auto"/>
              <w:jc w:val="center"/>
            </w:pPr>
            <w:r w:rsidRPr="0025470A">
              <w:t>2</w:t>
            </w:r>
            <w:r>
              <w:t>8</w:t>
            </w:r>
            <w:r w:rsidRPr="0025470A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25470A" w:rsidRDefault="008C12E6" w:rsidP="006F32DB">
            <w:pPr>
              <w:spacing w:line="276" w:lineRule="auto"/>
              <w:jc w:val="center"/>
            </w:pPr>
            <w:r w:rsidRPr="0025470A">
              <w:t>3.3.1.6.5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25470A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3C7608">
              <w:t>Zvýšit úroveň tříděného sběru odpadních pneumatik.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25470A" w:rsidRDefault="008C12E6" w:rsidP="006F32DB">
            <w:pPr>
              <w:spacing w:line="276" w:lineRule="auto"/>
              <w:jc w:val="center"/>
            </w:pPr>
            <w:r w:rsidRPr="0025470A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9E7DBF" w:rsidRDefault="008C12E6" w:rsidP="006F32DB">
            <w:pPr>
              <w:spacing w:line="276" w:lineRule="auto"/>
              <w:jc w:val="center"/>
            </w:pPr>
            <w:r w:rsidRPr="009E7DBF">
              <w:t>2</w:t>
            </w:r>
            <w:r>
              <w:t>9</w:t>
            </w:r>
            <w:r w:rsidRPr="009E7DBF">
              <w:t>.</w:t>
            </w:r>
          </w:p>
        </w:tc>
        <w:tc>
          <w:tcPr>
            <w:tcW w:w="1276" w:type="dxa"/>
            <w:vAlign w:val="center"/>
          </w:tcPr>
          <w:p w:rsidR="009B5453" w:rsidRPr="009E7DBF" w:rsidRDefault="008C12E6" w:rsidP="006F32DB">
            <w:pPr>
              <w:spacing w:line="276" w:lineRule="auto"/>
              <w:jc w:val="center"/>
            </w:pPr>
            <w:r w:rsidRPr="009E7DBF">
              <w:t>3.3.1.6.5</w:t>
            </w:r>
          </w:p>
        </w:tc>
        <w:tc>
          <w:tcPr>
            <w:tcW w:w="5528" w:type="dxa"/>
            <w:vAlign w:val="center"/>
          </w:tcPr>
          <w:p w:rsidR="009B5453" w:rsidRDefault="008C12E6" w:rsidP="006F32DB">
            <w:pPr>
              <w:spacing w:line="276" w:lineRule="auto"/>
            </w:pPr>
            <w:r w:rsidRPr="00FB2099">
              <w:t xml:space="preserve">Dosáhnout požadované úrovně sběru pneumatik viz </w:t>
            </w:r>
            <w:r w:rsidRPr="002E7DA7">
              <w:t>tabulka č. 48.</w:t>
            </w:r>
            <w:r w:rsidRPr="00CC4C1D">
              <w:t xml:space="preserve"> </w:t>
            </w:r>
            <w:r w:rsidRPr="00FB2099">
              <w:t xml:space="preserve"> </w:t>
            </w:r>
          </w:p>
          <w:p w:rsidR="009B5453" w:rsidRPr="00FB2099" w:rsidRDefault="008C12E6" w:rsidP="006F32DB">
            <w:pPr>
              <w:spacing w:line="276" w:lineRule="auto"/>
            </w:pPr>
            <w:r>
              <w:lastRenderedPageBreak/>
              <w:t>(</w:t>
            </w:r>
            <w:r w:rsidR="00193AA7">
              <w:t>2016–35</w:t>
            </w:r>
            <w:r>
              <w:t xml:space="preserve"> %, 2020 a dále – 80 %)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lastRenderedPageBreak/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E907AF" w:rsidRDefault="008C12E6" w:rsidP="006F32DB">
            <w:pPr>
              <w:spacing w:line="276" w:lineRule="auto"/>
              <w:jc w:val="center"/>
            </w:pPr>
            <w:r>
              <w:t>30</w:t>
            </w:r>
            <w:r w:rsidRPr="00E907AF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E907AF" w:rsidRDefault="008C12E6" w:rsidP="006F32DB">
            <w:pPr>
              <w:spacing w:line="276" w:lineRule="auto"/>
              <w:jc w:val="center"/>
            </w:pPr>
            <w:r w:rsidRPr="00E907AF">
              <w:t>3.3.1.6.5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E907AF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E907AF">
              <w:t xml:space="preserve">Dosahovat vysoké míry využití při zpracování odpadních pneumatik.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E907AF" w:rsidRDefault="008C12E6" w:rsidP="006F32DB">
            <w:pPr>
              <w:spacing w:line="276" w:lineRule="auto"/>
              <w:jc w:val="center"/>
            </w:pPr>
            <w:r w:rsidRPr="00E907AF">
              <w:t>3</w:t>
            </w:r>
            <w:r>
              <w:t>1</w:t>
            </w:r>
            <w:r w:rsidRPr="00E907AF">
              <w:t>.</w:t>
            </w:r>
          </w:p>
        </w:tc>
        <w:tc>
          <w:tcPr>
            <w:tcW w:w="1276" w:type="dxa"/>
            <w:vAlign w:val="center"/>
          </w:tcPr>
          <w:p w:rsidR="009B5453" w:rsidRPr="00E907AF" w:rsidRDefault="008C12E6" w:rsidP="006F32DB">
            <w:pPr>
              <w:spacing w:line="276" w:lineRule="auto"/>
              <w:jc w:val="center"/>
            </w:pPr>
            <w:r w:rsidRPr="00E907AF">
              <w:t>3.3.1.6.5</w:t>
            </w:r>
          </w:p>
        </w:tc>
        <w:tc>
          <w:tcPr>
            <w:tcW w:w="5528" w:type="dxa"/>
            <w:vAlign w:val="center"/>
          </w:tcPr>
          <w:p w:rsidR="009B5453" w:rsidRDefault="008C12E6" w:rsidP="006F32DB">
            <w:pPr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  <w:r w:rsidRPr="003C7608">
              <w:t xml:space="preserve">Od roku 2018 a dále dosáhnout </w:t>
            </w:r>
            <w:r w:rsidRPr="003C7608">
              <w:t>požadovaných % pro využití, recyklaci</w:t>
            </w:r>
            <w:r w:rsidRPr="00CC4C1D">
              <w:t xml:space="preserve"> a opětovné použití při zpracování odpadních </w:t>
            </w:r>
            <w:r w:rsidRPr="002E7DA7">
              <w:t>pneumatik viz tabulka č. 49.</w:t>
            </w:r>
            <w:r w:rsidRPr="00CC4C1D">
              <w:t xml:space="preserve"> </w:t>
            </w:r>
            <w:r w:rsidRPr="00CC4C1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B5453" w:rsidRPr="00E907AF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>
              <w:t>(</w:t>
            </w:r>
            <w:r w:rsidRPr="00010E5B">
              <w:t>2016 a dále – 100 %)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3</w:t>
            </w:r>
            <w:r>
              <w:t>2</w:t>
            </w:r>
            <w:r w:rsidRPr="003D6B10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3.3.1.7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A95575">
              <w:t>Podporovat technologie využívání kalů z čistíren komunálních odpadních vod.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3</w:t>
            </w:r>
            <w:r>
              <w:t>3</w:t>
            </w:r>
            <w:r w:rsidRPr="003D6B10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3.</w:t>
            </w:r>
            <w:r>
              <w:t>3</w:t>
            </w:r>
            <w:r w:rsidRPr="003D6B10">
              <w:t>.1.8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3C7608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3C7608">
              <w:t xml:space="preserve">Zvyšovat materiálové a energetické využití odpadních olejů.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Hlavní cíl</w:t>
            </w:r>
          </w:p>
        </w:tc>
      </w:tr>
      <w:tr w:rsidR="007E5173" w:rsidTr="00B51D58">
        <w:trPr>
          <w:trHeight w:val="931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3</w:t>
            </w:r>
            <w:r>
              <w:t>4</w:t>
            </w:r>
            <w:r w:rsidRPr="003D6B10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3.</w:t>
            </w:r>
            <w:r>
              <w:t>3</w:t>
            </w:r>
            <w:r w:rsidRPr="003D6B10">
              <w:t>.1.9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AD3479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E211EC">
              <w:rPr>
                <w:rFonts w:cstheme="minorHAnsi"/>
              </w:rPr>
              <w:t>Minimalizovat negativní účinky při nakládání s odpady ze zdravotnické a veterinární péče na lidské zdraví a</w:t>
            </w:r>
            <w:r>
              <w:rPr>
                <w:rFonts w:cstheme="minorHAnsi"/>
              </w:rPr>
              <w:t> </w:t>
            </w:r>
            <w:r w:rsidRPr="00E211EC">
              <w:rPr>
                <w:rFonts w:cstheme="minorHAnsi"/>
              </w:rPr>
              <w:t>životní prostředí.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6B10" w:rsidRDefault="008C12E6" w:rsidP="006F32DB">
            <w:pPr>
              <w:spacing w:line="276" w:lineRule="auto"/>
              <w:jc w:val="center"/>
            </w:pPr>
            <w:r w:rsidRPr="003D6B10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673F3F" w:rsidRDefault="008C12E6" w:rsidP="006F32DB">
            <w:pPr>
              <w:spacing w:line="276" w:lineRule="auto"/>
              <w:jc w:val="center"/>
            </w:pPr>
            <w:r w:rsidRPr="00673F3F">
              <w:t>3</w:t>
            </w:r>
            <w:r>
              <w:t>5</w:t>
            </w:r>
            <w:r w:rsidRPr="00673F3F"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Pr="00673F3F" w:rsidRDefault="008C12E6" w:rsidP="006F32DB">
            <w:pPr>
              <w:spacing w:line="276" w:lineRule="auto"/>
              <w:jc w:val="center"/>
            </w:pPr>
            <w:r w:rsidRPr="00673F3F">
              <w:t>3.3.2.1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D3479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900692">
              <w:rPr>
                <w:rFonts w:cstheme="minorHAnsi"/>
                <w:color w:val="000000"/>
              </w:rPr>
              <w:t xml:space="preserve">Předat veškerá </w:t>
            </w:r>
            <w:r w:rsidRPr="00900692">
              <w:rPr>
                <w:rFonts w:cstheme="minorHAnsi"/>
                <w:color w:val="000000"/>
              </w:rPr>
              <w:t>zařízení a odpady s obsahem p</w:t>
            </w:r>
            <w:r w:rsidRPr="00900692">
              <w:rPr>
                <w:rFonts w:cstheme="minorHAnsi"/>
                <w:bCs/>
                <w:color w:val="000000"/>
              </w:rPr>
              <w:t>olychlorovaných bifenylů</w:t>
            </w:r>
            <w:r w:rsidRPr="00900692">
              <w:rPr>
                <w:rFonts w:cstheme="minorHAnsi"/>
                <w:color w:val="000000"/>
              </w:rPr>
              <w:t xml:space="preserve"> do konce roku 2025 oprávněným osobám, nebo zařízení, a odpady s obsahem p</w:t>
            </w:r>
            <w:r w:rsidRPr="00900692">
              <w:rPr>
                <w:rFonts w:cstheme="minorHAnsi"/>
                <w:bCs/>
                <w:color w:val="000000"/>
              </w:rPr>
              <w:t>olychlorovaných bifenylů</w:t>
            </w:r>
            <w:r w:rsidRPr="00900692">
              <w:rPr>
                <w:rFonts w:cstheme="minorHAnsi"/>
                <w:color w:val="000000"/>
              </w:rPr>
              <w:t xml:space="preserve"> do této doby dekontaminovat.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F2589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673F3F" w:rsidRDefault="008C12E6" w:rsidP="006F32DB">
            <w:pPr>
              <w:spacing w:line="276" w:lineRule="auto"/>
              <w:jc w:val="center"/>
            </w:pPr>
            <w:r w:rsidRPr="00673F3F">
              <w:t>3</w:t>
            </w:r>
            <w:r>
              <w:t>6</w:t>
            </w:r>
            <w:r w:rsidRPr="00673F3F"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Pr="00673F3F" w:rsidRDefault="008C12E6" w:rsidP="006F32DB">
            <w:pPr>
              <w:spacing w:line="276" w:lineRule="auto"/>
              <w:jc w:val="center"/>
            </w:pPr>
            <w:r w:rsidRPr="00673F3F">
              <w:t>3.3.2.1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673F3F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900692">
              <w:rPr>
                <w:rFonts w:cstheme="minorHAnsi"/>
                <w:color w:val="000000"/>
              </w:rPr>
              <w:t>Odstranit odpady s obsahem p</w:t>
            </w:r>
            <w:r w:rsidRPr="00900692">
              <w:rPr>
                <w:rFonts w:cstheme="minorHAnsi"/>
                <w:bCs/>
                <w:color w:val="000000"/>
              </w:rPr>
              <w:t xml:space="preserve">olychlorovaných </w:t>
            </w:r>
            <w:r w:rsidRPr="00900692">
              <w:rPr>
                <w:rFonts w:cstheme="minorHAnsi"/>
                <w:bCs/>
                <w:color w:val="000000"/>
              </w:rPr>
              <w:t>bifenylů</w:t>
            </w:r>
            <w:r w:rsidRPr="00900692">
              <w:rPr>
                <w:rFonts w:cstheme="minorHAnsi"/>
                <w:color w:val="000000"/>
              </w:rPr>
              <w:t xml:space="preserve"> v držení oprávněných osob k nakládání s odpady do konce roku 2028.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F2589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21618C" w:rsidRDefault="008C12E6" w:rsidP="006F32DB">
            <w:pPr>
              <w:spacing w:line="276" w:lineRule="auto"/>
              <w:jc w:val="center"/>
            </w:pPr>
            <w:r w:rsidRPr="0021618C">
              <w:t>3</w:t>
            </w:r>
            <w:r>
              <w:t>7</w:t>
            </w:r>
            <w:r w:rsidRPr="0021618C"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Pr="0021618C" w:rsidRDefault="008C12E6" w:rsidP="006F32DB">
            <w:pPr>
              <w:spacing w:line="276" w:lineRule="auto"/>
              <w:jc w:val="center"/>
            </w:pPr>
            <w:r w:rsidRPr="0021618C">
              <w:t>3.3.2.2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D60377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045583">
              <w:rPr>
                <w:rFonts w:cstheme="minorHAnsi"/>
                <w:color w:val="000000"/>
              </w:rPr>
              <w:t>Zvýšit povědomí o perzistentních organických znečišťujících látkách a jejich účincích na lidské zdraví a životní prostředí.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F2589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21618C" w:rsidRDefault="008C12E6" w:rsidP="006F32DB">
            <w:pPr>
              <w:spacing w:line="276" w:lineRule="auto"/>
              <w:jc w:val="center"/>
            </w:pPr>
            <w:r w:rsidRPr="0021618C">
              <w:t>3</w:t>
            </w:r>
            <w:r>
              <w:t>8</w:t>
            </w:r>
            <w:r w:rsidRPr="0021618C">
              <w:t>.</w:t>
            </w:r>
          </w:p>
        </w:tc>
        <w:tc>
          <w:tcPr>
            <w:tcW w:w="1276" w:type="dxa"/>
            <w:vAlign w:val="center"/>
          </w:tcPr>
          <w:p w:rsidR="009B5453" w:rsidRPr="0021618C" w:rsidRDefault="008C12E6" w:rsidP="006F32DB">
            <w:pPr>
              <w:spacing w:line="276" w:lineRule="auto"/>
              <w:jc w:val="center"/>
            </w:pPr>
            <w:r w:rsidRPr="0021618C">
              <w:t>3.3.2.2</w:t>
            </w:r>
          </w:p>
        </w:tc>
        <w:tc>
          <w:tcPr>
            <w:tcW w:w="5528" w:type="dxa"/>
            <w:vAlign w:val="center"/>
          </w:tcPr>
          <w:p w:rsidR="009B5453" w:rsidRPr="00724202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724202">
              <w:rPr>
                <w:rFonts w:cstheme="minorHAnsi"/>
                <w:color w:val="000000"/>
              </w:rPr>
              <w:t>Kontrolovat výskyt perzistentních organických znečišťujících látek zejména u odpadů uvedených v</w:t>
            </w:r>
            <w:r>
              <w:rPr>
                <w:rFonts w:cstheme="minorHAnsi"/>
                <w:color w:val="000000"/>
              </w:rPr>
              <w:t> </w:t>
            </w:r>
            <w:r w:rsidRPr="00724202">
              <w:rPr>
                <w:rFonts w:cstheme="minorHAnsi"/>
                <w:color w:val="000000"/>
              </w:rPr>
              <w:t>příloze V nařízení Evropského parlamentu a Rady (ES) č. 850/2004 o perzistentn</w:t>
            </w:r>
            <w:r w:rsidRPr="00724202">
              <w:rPr>
                <w:rFonts w:cstheme="minorHAnsi" w:hint="eastAsia"/>
                <w:color w:val="000000"/>
              </w:rPr>
              <w:t>í</w:t>
            </w:r>
            <w:r w:rsidRPr="00724202">
              <w:rPr>
                <w:rFonts w:cstheme="minorHAnsi"/>
                <w:color w:val="000000"/>
              </w:rPr>
              <w:t>ch organick</w:t>
            </w:r>
            <w:r w:rsidRPr="00724202">
              <w:rPr>
                <w:rFonts w:cstheme="minorHAnsi" w:hint="eastAsia"/>
                <w:color w:val="000000"/>
              </w:rPr>
              <w:t>ý</w:t>
            </w:r>
            <w:r w:rsidRPr="00724202">
              <w:rPr>
                <w:rFonts w:cstheme="minorHAnsi"/>
                <w:color w:val="000000"/>
              </w:rPr>
              <w:t>ch zne</w:t>
            </w:r>
            <w:r w:rsidRPr="00724202">
              <w:rPr>
                <w:rFonts w:cstheme="minorHAnsi" w:hint="eastAsia"/>
                <w:color w:val="000000"/>
              </w:rPr>
              <w:t>č</w:t>
            </w:r>
            <w:r w:rsidRPr="00724202">
              <w:rPr>
                <w:rFonts w:cstheme="minorHAnsi"/>
                <w:color w:val="000000"/>
              </w:rPr>
              <w:t>i</w:t>
            </w:r>
            <w:r w:rsidRPr="00724202">
              <w:rPr>
                <w:rFonts w:cstheme="minorHAnsi" w:hint="eastAsia"/>
                <w:color w:val="000000"/>
              </w:rPr>
              <w:t>šť</w:t>
            </w:r>
            <w:r w:rsidRPr="00724202">
              <w:rPr>
                <w:rFonts w:cstheme="minorHAnsi"/>
                <w:color w:val="000000"/>
              </w:rPr>
              <w:t>uj</w:t>
            </w:r>
            <w:r w:rsidRPr="00724202">
              <w:rPr>
                <w:rFonts w:cstheme="minorHAnsi" w:hint="eastAsia"/>
                <w:color w:val="000000"/>
              </w:rPr>
              <w:t>í</w:t>
            </w:r>
            <w:r w:rsidRPr="00724202">
              <w:rPr>
                <w:rFonts w:cstheme="minorHAnsi"/>
                <w:color w:val="000000"/>
              </w:rPr>
              <w:t>c</w:t>
            </w:r>
            <w:r w:rsidRPr="00724202">
              <w:rPr>
                <w:rFonts w:cstheme="minorHAnsi" w:hint="eastAsia"/>
                <w:color w:val="000000"/>
              </w:rPr>
              <w:t>í</w:t>
            </w:r>
            <w:r w:rsidRPr="00724202">
              <w:rPr>
                <w:rFonts w:cstheme="minorHAnsi"/>
                <w:color w:val="000000"/>
              </w:rPr>
              <w:t>ch l</w:t>
            </w:r>
            <w:r w:rsidRPr="00724202">
              <w:rPr>
                <w:rFonts w:cstheme="minorHAnsi" w:hint="eastAsia"/>
                <w:color w:val="000000"/>
              </w:rPr>
              <w:t>á</w:t>
            </w:r>
            <w:r w:rsidRPr="00724202">
              <w:rPr>
                <w:rFonts w:cstheme="minorHAnsi"/>
                <w:color w:val="000000"/>
              </w:rPr>
              <w:t>tk</w:t>
            </w:r>
            <w:r w:rsidRPr="00724202">
              <w:rPr>
                <w:rFonts w:cstheme="minorHAnsi" w:hint="eastAsia"/>
                <w:color w:val="000000"/>
              </w:rPr>
              <w:t>á</w:t>
            </w:r>
            <w:r w:rsidRPr="00724202">
              <w:rPr>
                <w:rFonts w:cstheme="minorHAnsi"/>
                <w:color w:val="000000"/>
              </w:rPr>
              <w:t xml:space="preserve">ch ve znění nařízení Komise (EU) č. 756/2010.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21618C" w:rsidRDefault="008C12E6" w:rsidP="006F32DB">
            <w:pPr>
              <w:spacing w:line="276" w:lineRule="auto"/>
              <w:jc w:val="center"/>
            </w:pPr>
            <w:r w:rsidRPr="0021618C">
              <w:t>3</w:t>
            </w:r>
            <w:r>
              <w:t>9</w:t>
            </w:r>
            <w:r w:rsidRPr="0021618C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21618C" w:rsidRDefault="008C12E6" w:rsidP="006F32DB">
            <w:pPr>
              <w:spacing w:line="276" w:lineRule="auto"/>
              <w:jc w:val="center"/>
            </w:pPr>
            <w:r w:rsidRPr="0021618C">
              <w:t>3.</w:t>
            </w:r>
            <w:r>
              <w:t>3</w:t>
            </w:r>
            <w:r w:rsidRPr="0021618C">
              <w:t>.2.3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0A0A27" w:rsidRDefault="008C12E6" w:rsidP="006F32DB">
            <w:pPr>
              <w:spacing w:line="276" w:lineRule="auto"/>
              <w:rPr>
                <w:rFonts w:cstheme="minorHAnsi"/>
                <w:color w:val="000000"/>
                <w:highlight w:val="yellow"/>
              </w:rPr>
            </w:pPr>
            <w:r w:rsidRPr="00E211EC">
              <w:rPr>
                <w:rFonts w:cstheme="minorHAnsi"/>
              </w:rPr>
              <w:t>Minimalizovat možné negativní účinky při nakládání s odpady s obsahem azbestu na lidské zdraví a životní prostředí.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EA045A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B5453" w:rsidRPr="000B3184" w:rsidRDefault="008C12E6" w:rsidP="006F32DB">
            <w:pPr>
              <w:spacing w:line="276" w:lineRule="auto"/>
              <w:jc w:val="center"/>
            </w:pPr>
            <w:r>
              <w:t>40</w:t>
            </w:r>
            <w:r w:rsidRPr="000B3184">
              <w:t>.</w:t>
            </w:r>
          </w:p>
        </w:tc>
        <w:tc>
          <w:tcPr>
            <w:tcW w:w="1276" w:type="dxa"/>
            <w:vAlign w:val="center"/>
          </w:tcPr>
          <w:p w:rsidR="009B5453" w:rsidRPr="000B3184" w:rsidRDefault="008C12E6" w:rsidP="006F32DB">
            <w:pPr>
              <w:spacing w:line="276" w:lineRule="auto"/>
              <w:jc w:val="center"/>
            </w:pPr>
            <w:r w:rsidRPr="000B3184">
              <w:t>3.3.2.4</w:t>
            </w:r>
          </w:p>
        </w:tc>
        <w:tc>
          <w:tcPr>
            <w:tcW w:w="5528" w:type="dxa"/>
            <w:vAlign w:val="center"/>
          </w:tcPr>
          <w:p w:rsidR="009B5453" w:rsidRPr="00A00F3D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A00F3D">
              <w:rPr>
                <w:rFonts w:cstheme="minorHAnsi"/>
              </w:rPr>
              <w:t xml:space="preserve">Minimalizovat možné negativní účinky při nakládání s odpady s obsahem přírodních </w:t>
            </w:r>
            <w:r w:rsidRPr="00A00F3D">
              <w:rPr>
                <w:rFonts w:cstheme="minorHAnsi"/>
              </w:rPr>
              <w:t>radionuklidů na lidské zdraví a životní prostředí.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 w:rsidRPr="003D1E36">
              <w:t>4</w:t>
            </w:r>
            <w:r>
              <w:t>1</w:t>
            </w:r>
            <w:r w:rsidRPr="003D1E36"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 w:rsidRPr="003D1E36">
              <w:t>3.3.3.1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E42184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E42184">
              <w:rPr>
                <w:rFonts w:cstheme="minorHAnsi"/>
                <w:color w:val="000000"/>
              </w:rPr>
              <w:t xml:space="preserve">Snižovat množství biologicky rozložitelných odpadů z kuchyní a stravoven a vedlejších produktů živočišného původu ve směsném komunálním odpadu, </w:t>
            </w:r>
            <w:r w:rsidRPr="00E42184">
              <w:rPr>
                <w:rFonts w:cstheme="minorHAnsi"/>
                <w:color w:val="000000"/>
              </w:rPr>
              <w:lastRenderedPageBreak/>
              <w:t xml:space="preserve">které jsou původem z veřejných </w:t>
            </w:r>
            <w:r w:rsidRPr="00E42184">
              <w:rPr>
                <w:rFonts w:cstheme="minorHAnsi"/>
                <w:color w:val="000000"/>
              </w:rPr>
              <w:t>stravovacích zařízení (restaurace, občerstvení) a centrálních kuchyní (nemocnice, školy a další obdobná zařízení).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lastRenderedPageBreak/>
              <w:t>Dílčí cíl</w:t>
            </w:r>
            <w:r w:rsidRPr="00EA045A">
              <w:t xml:space="preserve"> 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 w:rsidRPr="003D1E36">
              <w:t>4</w:t>
            </w:r>
            <w:r>
              <w:t>2</w:t>
            </w:r>
            <w:r w:rsidRPr="003D1E36"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 w:rsidRPr="003D1E36">
              <w:t>3.3.3.1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E42184" w:rsidRDefault="008C12E6" w:rsidP="006F32DB">
            <w:pPr>
              <w:spacing w:line="276" w:lineRule="auto"/>
              <w:rPr>
                <w:rFonts w:cstheme="minorHAnsi"/>
                <w:color w:val="000000"/>
              </w:rPr>
            </w:pPr>
            <w:r w:rsidRPr="00E42184">
              <w:rPr>
                <w:rFonts w:cstheme="minorHAnsi"/>
                <w:color w:val="000000"/>
              </w:rPr>
              <w:t xml:space="preserve">Správně </w:t>
            </w:r>
            <w:r w:rsidRPr="00E42184">
              <w:rPr>
                <w:rFonts w:cstheme="minorHAnsi"/>
                <w:color w:val="000000"/>
                <w:lang w:val="x-none"/>
              </w:rPr>
              <w:t>naklád</w:t>
            </w:r>
            <w:r w:rsidRPr="00E42184">
              <w:rPr>
                <w:rFonts w:cstheme="minorHAnsi"/>
                <w:color w:val="000000"/>
              </w:rPr>
              <w:t>at</w:t>
            </w:r>
            <w:r w:rsidRPr="00E42184">
              <w:rPr>
                <w:rFonts w:cstheme="minorHAnsi"/>
                <w:color w:val="000000"/>
                <w:lang w:val="x-none"/>
              </w:rPr>
              <w:t xml:space="preserve"> s </w:t>
            </w:r>
            <w:r w:rsidRPr="00E42184">
              <w:rPr>
                <w:rFonts w:cstheme="minorHAnsi"/>
                <w:color w:val="000000"/>
              </w:rPr>
              <w:t>biologicky rozložitelnými odpady z kuchyní a stravoven a vedlejšími produkty živočišného původu</w:t>
            </w:r>
            <w:r w:rsidRPr="00E42184">
              <w:rPr>
                <w:rFonts w:cstheme="minorHAnsi"/>
                <w:color w:val="000000"/>
                <w:lang w:val="x-none"/>
              </w:rPr>
              <w:t xml:space="preserve"> a snižovat tak </w:t>
            </w:r>
            <w:r w:rsidRPr="00E42184">
              <w:rPr>
                <w:rFonts w:cstheme="minorHAnsi"/>
                <w:color w:val="000000"/>
              </w:rPr>
              <w:t>negativní účinky spojené s nakládáním s nimi na lidské zdraví a životní prostředí</w:t>
            </w:r>
            <w:r w:rsidRPr="00E42184">
              <w:rPr>
                <w:rFonts w:cstheme="minorHAnsi"/>
                <w:color w:val="000000"/>
                <w:lang w:val="x-none"/>
              </w:rPr>
              <w:t>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  <w:r w:rsidRPr="00EA045A">
              <w:t xml:space="preserve"> 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 w:rsidRPr="003D1E36">
              <w:t>4</w:t>
            </w:r>
            <w:r>
              <w:t>3</w:t>
            </w:r>
            <w:r w:rsidRPr="003D1E36"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>
              <w:t>3.3.3.2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rPr>
                <w:rFonts w:cstheme="minorHAnsi"/>
              </w:rPr>
            </w:pPr>
            <w:r w:rsidRPr="00A00F3D">
              <w:t xml:space="preserve">Zpracovávat </w:t>
            </w:r>
            <w:r w:rsidRPr="00A00F3D">
              <w:rPr>
                <w:rFonts w:ascii="Calibri" w:hAnsi="Calibri" w:cstheme="minorHAnsi"/>
                <w:szCs w:val="24"/>
              </w:rPr>
              <w:t xml:space="preserve">kovové odpady a výrobky s ukončenou životností na materiály za účelem náhrady primárních </w:t>
            </w:r>
            <w:r>
              <w:rPr>
                <w:rFonts w:ascii="Calibri" w:hAnsi="Calibri" w:cstheme="minorHAnsi"/>
                <w:szCs w:val="24"/>
              </w:rPr>
              <w:t>surovin.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>
              <w:t xml:space="preserve">44.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815938" w:rsidRDefault="008C12E6" w:rsidP="006F32DB">
            <w:pPr>
              <w:spacing w:line="276" w:lineRule="auto"/>
              <w:rPr>
                <w:rFonts w:cstheme="minorHAnsi"/>
              </w:rPr>
            </w:pPr>
            <w:r w:rsidRPr="00F430CF">
              <w:t xml:space="preserve">Vytvořit a udržovat komplexní, přiměřenou a efektivní síť zařízení k nakládání s odpady na území České republiky.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3D1E36" w:rsidRDefault="008C12E6" w:rsidP="006F32DB">
            <w:pPr>
              <w:spacing w:line="276" w:lineRule="auto"/>
              <w:jc w:val="center"/>
            </w:pPr>
            <w:r w:rsidRPr="00EA045A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6B6F19" w:rsidRDefault="008C12E6" w:rsidP="006F32DB">
            <w:pPr>
              <w:autoSpaceDE w:val="0"/>
              <w:autoSpaceDN w:val="0"/>
              <w:adjustRightInd w:val="0"/>
              <w:spacing w:line="276" w:lineRule="auto"/>
            </w:pPr>
            <w:r w:rsidRPr="00F6758D">
              <w:t xml:space="preserve">Neohrožovat v důsledku přeshraničního pohybu odpadů </w:t>
            </w:r>
            <w:r w:rsidRPr="00F6758D">
              <w:rPr>
                <w:rFonts w:cstheme="minorHAnsi"/>
              </w:rPr>
              <w:t xml:space="preserve">lidské zdraví </w:t>
            </w:r>
            <w:r w:rsidRPr="00F6758D">
              <w:t>a životní prostředí v České republice.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Pr="00EA045A" w:rsidRDefault="008C12E6" w:rsidP="006F32DB">
            <w:pPr>
              <w:spacing w:line="276" w:lineRule="auto"/>
              <w:jc w:val="center"/>
            </w:pPr>
            <w:r w:rsidRPr="00EA045A"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 xml:space="preserve">46.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7FF2" w:rsidRDefault="008C12E6" w:rsidP="006F32DB">
            <w:pPr>
              <w:autoSpaceDE w:val="0"/>
              <w:autoSpaceDN w:val="0"/>
              <w:adjustRightInd w:val="0"/>
              <w:spacing w:line="276" w:lineRule="auto"/>
            </w:pPr>
            <w:r w:rsidRPr="00A67FF2">
              <w:rPr>
                <w:bCs/>
                <w:iCs/>
              </w:rPr>
              <w:t xml:space="preserve">Omezit odkládání odpadů mimo místa k tomu určená.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Pr="00EA045A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 xml:space="preserve">47.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36019C" w:rsidRDefault="008C12E6" w:rsidP="006F32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7FF2">
              <w:rPr>
                <w:bCs/>
                <w:iCs/>
              </w:rPr>
              <w:t>Zajistit správné nakládání s odpady odloženými mimo místa k tomu určená a s odpady, jejichž vlastník není znám nebo zanikl.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3.7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B5453" w:rsidRPr="0004336C" w:rsidRDefault="008C12E6" w:rsidP="006F32DB">
            <w:pPr>
              <w:spacing w:line="276" w:lineRule="auto"/>
            </w:pPr>
            <w:r w:rsidRPr="0004336C">
              <w:t xml:space="preserve">Koordinovaným a jednotným přístupem </w:t>
            </w:r>
            <w:r w:rsidRPr="0004336C">
              <w:t>vytvořit podmínky k nižší spotřebě primárních zdrojů a</w:t>
            </w:r>
            <w:r>
              <w:t> </w:t>
            </w:r>
            <w:r w:rsidRPr="0004336C">
              <w:t>postupnému snižování produkce odpadů.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Hlavní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04336C">
              <w:rPr>
                <w:rFonts w:cs="Arial"/>
                <w:szCs w:val="24"/>
              </w:rPr>
              <w:t>Po celou dobu realizace Programu předcházení vzniku odpadů zajistit komplexní informační podporu o</w:t>
            </w:r>
            <w:r>
              <w:rPr>
                <w:rFonts w:cs="Arial"/>
                <w:szCs w:val="24"/>
              </w:rPr>
              <w:t> </w:t>
            </w:r>
            <w:r w:rsidRPr="0004336C">
              <w:rPr>
                <w:rFonts w:cs="Arial"/>
                <w:szCs w:val="24"/>
              </w:rPr>
              <w:t xml:space="preserve">problematice, včetně zavedení problematiky </w:t>
            </w:r>
            <w:r w:rsidRPr="0004336C">
              <w:rPr>
                <w:rFonts w:cs="Arial"/>
                <w:szCs w:val="24"/>
              </w:rPr>
              <w:t>předcházení vzniku odpadů do školních osnov, výzkumných programů a výchovných, osvětových a vzdělávacích aktivit související s ochranou a tvorbou životního prostředí.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3C5E41">
              <w:rPr>
                <w:rFonts w:cs="Arial"/>
                <w:szCs w:val="24"/>
              </w:rPr>
              <w:t xml:space="preserve">Zajistit účinné zapojení státní správy na všech úrovních do problematiky předcházení vzniku odpadů s cílem postupného snižování množství odpadů při výkonu státní správy.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4350EE" w:rsidRDefault="008C12E6" w:rsidP="006F32DB">
            <w:pPr>
              <w:spacing w:line="276" w:lineRule="auto"/>
              <w:rPr>
                <w:bCs/>
                <w:iCs/>
              </w:rPr>
            </w:pPr>
            <w:r w:rsidRPr="004350EE">
              <w:rPr>
                <w:rFonts w:cs="Arial"/>
                <w:szCs w:val="24"/>
              </w:rPr>
              <w:t>Vytvořit podmínky a nastavit motivační prvky pro snižování surovin</w:t>
            </w:r>
            <w:r w:rsidRPr="004350EE">
              <w:rPr>
                <w:rFonts w:cs="Arial"/>
                <w:szCs w:val="24"/>
              </w:rPr>
              <w:t xml:space="preserve">ových a energetických zdrojů ve výrobních odvětvích a zvyšování využívání </w:t>
            </w:r>
            <w:r>
              <w:rPr>
                <w:rFonts w:cs="Arial"/>
                <w:szCs w:val="24"/>
              </w:rPr>
              <w:t>„</w:t>
            </w:r>
            <w:r w:rsidRPr="004350EE">
              <w:rPr>
                <w:rFonts w:cs="Arial"/>
                <w:szCs w:val="24"/>
              </w:rPr>
              <w:t>druhotných surovin</w:t>
            </w:r>
            <w:r>
              <w:rPr>
                <w:rFonts w:cs="Arial"/>
                <w:szCs w:val="24"/>
              </w:rPr>
              <w:t>“</w:t>
            </w:r>
            <w:r w:rsidRPr="004350EE">
              <w:rPr>
                <w:rFonts w:cs="Arial"/>
                <w:szCs w:val="24"/>
              </w:rPr>
              <w:t xml:space="preserve"> v souvislosti s dalšími strategickými </w:t>
            </w:r>
            <w:r w:rsidRPr="004350EE">
              <w:rPr>
                <w:rFonts w:cs="Arial"/>
                <w:szCs w:val="24"/>
              </w:rPr>
              <w:lastRenderedPageBreak/>
              <w:t>dokumenty (zejména Surovinovou politikou Č</w:t>
            </w:r>
            <w:r>
              <w:rPr>
                <w:rFonts w:cs="Arial"/>
                <w:szCs w:val="24"/>
              </w:rPr>
              <w:t xml:space="preserve">eské republiky </w:t>
            </w:r>
            <w:r w:rsidRPr="004350EE">
              <w:rPr>
                <w:rFonts w:cs="Arial"/>
                <w:szCs w:val="24"/>
              </w:rPr>
              <w:t>a Politikou druhotných surovin Č</w:t>
            </w:r>
            <w:r>
              <w:rPr>
                <w:rFonts w:cs="Arial"/>
                <w:szCs w:val="24"/>
              </w:rPr>
              <w:t>eské republiky</w:t>
            </w:r>
            <w:r w:rsidRPr="004350EE">
              <w:rPr>
                <w:rFonts w:cs="Arial"/>
                <w:szCs w:val="24"/>
              </w:rPr>
              <w:t xml:space="preserve">).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lastRenderedPageBreak/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310537">
              <w:rPr>
                <w:rFonts w:cs="Arial"/>
                <w:bCs/>
                <w:szCs w:val="24"/>
              </w:rPr>
              <w:t xml:space="preserve">Podpořit všemi dostupnými prostředky zavádění </w:t>
            </w:r>
            <w:proofErr w:type="spellStart"/>
            <w:r w:rsidRPr="00310537">
              <w:rPr>
                <w:rFonts w:cs="Arial"/>
                <w:bCs/>
                <w:szCs w:val="24"/>
              </w:rPr>
              <w:t>nízkoodpadových</w:t>
            </w:r>
            <w:proofErr w:type="spellEnd"/>
            <w:r w:rsidRPr="00310537">
              <w:rPr>
                <w:rFonts w:cs="Arial"/>
                <w:bCs/>
                <w:szCs w:val="24"/>
              </w:rPr>
              <w:t xml:space="preserve"> a inovativních technologií šetřící vstupní suroviny a materiály a podpořit výrobní a</w:t>
            </w:r>
            <w:r>
              <w:rPr>
                <w:rFonts w:cs="Arial"/>
                <w:bCs/>
                <w:szCs w:val="24"/>
              </w:rPr>
              <w:t> </w:t>
            </w:r>
            <w:r w:rsidRPr="00310537">
              <w:rPr>
                <w:rFonts w:cs="Arial"/>
                <w:bCs/>
                <w:szCs w:val="24"/>
              </w:rPr>
              <w:t>průmyslovou sféru ve snaze optimalizovat procesy řízení výroby z hlediska naplnění cílů Programu.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</w:t>
            </w:r>
            <w:r w:rsidRPr="007E4C85">
              <w:t>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916680">
              <w:rPr>
                <w:rFonts w:cs="Arial"/>
                <w:szCs w:val="24"/>
              </w:rPr>
              <w:t xml:space="preserve">Na všech úrovních podpořit, propagovat a dostatečně informovat o dostupných dobrovolných nástrojích (dobrovolné dohody, systémy environmentálního řízení, environmentálního značení) s cílem jejich postupného rozšiřování. 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6E2832" w:rsidRDefault="008C12E6" w:rsidP="006F32DB">
            <w:pPr>
              <w:spacing w:line="276" w:lineRule="auto"/>
              <w:rPr>
                <w:bCs/>
                <w:iCs/>
              </w:rPr>
            </w:pPr>
            <w:r w:rsidRPr="006E2832">
              <w:rPr>
                <w:rFonts w:cs="Arial"/>
                <w:szCs w:val="24"/>
              </w:rPr>
              <w:t>V souvislosti s jednotlivými cíli Programu, s cíli jiných programů a politik životního prostředí a s požadavky orgánů Evropské unie zajistit vhodné legislativní prostředí pro realizaci Programu.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D874BB">
              <w:rPr>
                <w:rFonts w:cs="Arial"/>
                <w:szCs w:val="24"/>
              </w:rPr>
              <w:t>Věnovat maximální pozornost odpadům z potr</w:t>
            </w:r>
            <w:r w:rsidRPr="00D874BB">
              <w:rPr>
                <w:rFonts w:cs="Arial"/>
                <w:szCs w:val="24"/>
              </w:rPr>
              <w:t>avin a</w:t>
            </w:r>
            <w:r>
              <w:rPr>
                <w:rFonts w:cs="Arial"/>
                <w:szCs w:val="24"/>
              </w:rPr>
              <w:t> </w:t>
            </w:r>
            <w:r w:rsidRPr="00D874BB">
              <w:rPr>
                <w:rFonts w:cs="Arial"/>
                <w:szCs w:val="24"/>
              </w:rPr>
              <w:t xml:space="preserve">vytvořit podmínky pro postupné snižování těchto odpadů na všech úrovních potravinového cyklu (fáze </w:t>
            </w:r>
            <w:r w:rsidRPr="00D874BB">
              <w:rPr>
                <w:rFonts w:cs="Arial"/>
                <w:bCs/>
                <w:color w:val="000000"/>
                <w:szCs w:val="24"/>
              </w:rPr>
              <w:t>výroby potravin včetně jejich uvádění na trh a</w:t>
            </w:r>
            <w:r>
              <w:rPr>
                <w:rFonts w:cs="Arial"/>
                <w:bCs/>
                <w:color w:val="000000"/>
                <w:szCs w:val="24"/>
              </w:rPr>
              <w:t> </w:t>
            </w:r>
            <w:r w:rsidRPr="00D874BB">
              <w:rPr>
                <w:rFonts w:cs="Arial"/>
                <w:bCs/>
                <w:color w:val="000000"/>
                <w:szCs w:val="24"/>
              </w:rPr>
              <w:t>konzumace</w:t>
            </w:r>
            <w:r w:rsidRPr="00D874BB">
              <w:rPr>
                <w:rFonts w:cs="Arial"/>
                <w:szCs w:val="24"/>
              </w:rPr>
              <w:t>).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914F06">
              <w:rPr>
                <w:rFonts w:cs="Arial"/>
                <w:szCs w:val="24"/>
              </w:rPr>
              <w:t xml:space="preserve">Vytvořit podmínky ke stabilizaci produkce jednotlivých složek </w:t>
            </w:r>
            <w:r w:rsidRPr="00914F06">
              <w:rPr>
                <w:rFonts w:cs="Arial"/>
                <w:szCs w:val="24"/>
              </w:rPr>
              <w:t>komunálního odpadu a následnému snižování na všech úrovních veřejné správy a na úrovni občanů.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8C1310">
              <w:rPr>
                <w:rFonts w:cs="Arial"/>
                <w:szCs w:val="24"/>
              </w:rPr>
              <w:t>V součinnosti s dalšími strategickými dokumenty vytvořit podmínky ke stabilizaci produkce nebezpečných odpadů, stavebních a demoličních odpadů</w:t>
            </w:r>
            <w:r w:rsidRPr="008C1310">
              <w:rPr>
                <w:rFonts w:cs="Arial"/>
                <w:szCs w:val="24"/>
              </w:rPr>
              <w:t>, textilních odpadů a odpadů z výrobkových směrnic s výhledem reálného snižování jejich produkce v následujících letech.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after="120" w:line="276" w:lineRule="auto"/>
              <w:rPr>
                <w:bCs/>
                <w:iCs/>
              </w:rPr>
            </w:pPr>
            <w:r w:rsidRPr="00340BB7">
              <w:rPr>
                <w:rFonts w:cs="Arial"/>
                <w:szCs w:val="24"/>
              </w:rPr>
              <w:t xml:space="preserve">Podporovat využívání servisních a charitativních středisek a organizací za účelem prodlužování životnosti a </w:t>
            </w:r>
            <w:r w:rsidRPr="00340BB7">
              <w:rPr>
                <w:rFonts w:cs="Arial"/>
                <w:szCs w:val="24"/>
              </w:rPr>
              <w:t>opětovného používání výrobků a</w:t>
            </w:r>
            <w:r>
              <w:rPr>
                <w:rFonts w:cs="Arial"/>
                <w:szCs w:val="24"/>
              </w:rPr>
              <w:t> </w:t>
            </w:r>
            <w:r w:rsidRPr="00340BB7">
              <w:rPr>
                <w:rFonts w:cs="Arial"/>
                <w:szCs w:val="24"/>
              </w:rPr>
              <w:t>materiálů.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59.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901D5A" w:rsidRDefault="008C12E6" w:rsidP="006F32DB">
            <w:pPr>
              <w:spacing w:line="276" w:lineRule="auto"/>
              <w:rPr>
                <w:bCs/>
                <w:iCs/>
              </w:rPr>
            </w:pPr>
            <w:r w:rsidRPr="00901D5A">
              <w:rPr>
                <w:rFonts w:cs="Arial"/>
                <w:szCs w:val="24"/>
              </w:rPr>
              <w:t>Zvýšit aktivní úlohu výzkumu, experimentálního vývoje a inovací v oblasti podpory Programu předcházení vzniku odpadů.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lastRenderedPageBreak/>
              <w:t>60.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A65F5F" w:rsidRDefault="008C12E6" w:rsidP="006F32DB">
            <w:pPr>
              <w:spacing w:line="276" w:lineRule="auto"/>
              <w:rPr>
                <w:bCs/>
                <w:iCs/>
              </w:rPr>
            </w:pPr>
            <w:r w:rsidRPr="007D47AB">
              <w:rPr>
                <w:rFonts w:cs="Arial"/>
                <w:szCs w:val="24"/>
              </w:rPr>
              <w:t xml:space="preserve">Zvýšit účinnost prosazování problematiky předcházení </w:t>
            </w:r>
            <w:r w:rsidRPr="007D47AB">
              <w:rPr>
                <w:rFonts w:cs="Arial"/>
                <w:szCs w:val="24"/>
              </w:rPr>
              <w:t>vzniku odpadů v aktivitách a činnostech kolektivních systémů a systémů zpětně odebíraných výrobků.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  <w:tr w:rsidR="007E5173" w:rsidTr="00B51D58"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>
              <w:t>61.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90474C">
              <w:t>3.7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9B5453" w:rsidRPr="00593A3E" w:rsidRDefault="008C12E6" w:rsidP="006F32DB">
            <w:pPr>
              <w:spacing w:line="276" w:lineRule="auto"/>
              <w:rPr>
                <w:bCs/>
                <w:iCs/>
              </w:rPr>
            </w:pPr>
            <w:r w:rsidRPr="00593A3E">
              <w:rPr>
                <w:rFonts w:cs="Arial"/>
                <w:szCs w:val="24"/>
              </w:rPr>
              <w:t xml:space="preserve">Zajistit </w:t>
            </w:r>
            <w:r>
              <w:rPr>
                <w:rFonts w:cs="Arial"/>
                <w:szCs w:val="24"/>
              </w:rPr>
              <w:t xml:space="preserve">vypracování </w:t>
            </w:r>
            <w:r w:rsidRPr="00593A3E">
              <w:rPr>
                <w:rFonts w:cs="Arial"/>
                <w:szCs w:val="24"/>
              </w:rPr>
              <w:t>potřebných analytických podkladů a hodnotících nástrojů za účelem vyhodnocování účinnosti Programu předcházení vzniku</w:t>
            </w:r>
            <w:r w:rsidRPr="00593A3E">
              <w:rPr>
                <w:rFonts w:cs="Arial"/>
                <w:szCs w:val="24"/>
              </w:rPr>
              <w:t xml:space="preserve"> odpadů a</w:t>
            </w:r>
            <w:r>
              <w:rPr>
                <w:rFonts w:cs="Arial"/>
                <w:szCs w:val="24"/>
              </w:rPr>
              <w:t> </w:t>
            </w:r>
            <w:r w:rsidRPr="00593A3E">
              <w:rPr>
                <w:rFonts w:cs="Arial"/>
                <w:szCs w:val="24"/>
              </w:rPr>
              <w:t>posouzení dosažených pokroků dílčích prevenčních cílů a opatření.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5453" w:rsidRDefault="008C12E6" w:rsidP="006F32DB">
            <w:pPr>
              <w:spacing w:line="276" w:lineRule="auto"/>
              <w:jc w:val="center"/>
            </w:pPr>
            <w:r w:rsidRPr="007E4C85">
              <w:t>Dílčí cíl</w:t>
            </w:r>
          </w:p>
        </w:tc>
      </w:tr>
    </w:tbl>
    <w:p w:rsidR="00AA7CEA" w:rsidRDefault="00AA7CEA" w:rsidP="0034324E"/>
    <w:p w:rsidR="00AA7CEA" w:rsidRDefault="00AA7CEA" w:rsidP="0034324E"/>
    <w:p w:rsidR="00976449" w:rsidRDefault="00976449" w:rsidP="0034324E"/>
    <w:p w:rsidR="00FF0278" w:rsidRDefault="00FF0278">
      <w:pPr>
        <w:spacing w:after="200" w:line="276" w:lineRule="auto"/>
        <w:jc w:val="left"/>
      </w:pPr>
    </w:p>
    <w:p w:rsidR="00FF0278" w:rsidRDefault="00FF0278">
      <w:pPr>
        <w:spacing w:after="200" w:line="276" w:lineRule="auto"/>
        <w:jc w:val="left"/>
      </w:pPr>
    </w:p>
    <w:p w:rsidR="00382285" w:rsidRDefault="008C12E6">
      <w:pPr>
        <w:spacing w:after="200" w:line="276" w:lineRule="auto"/>
        <w:jc w:val="left"/>
      </w:pPr>
      <w:r>
        <w:br w:type="page"/>
      </w:r>
    </w:p>
    <w:p w:rsidR="00976449" w:rsidRPr="004A0E12" w:rsidRDefault="008C12E6" w:rsidP="000B7DEF">
      <w:pPr>
        <w:pStyle w:val="Nadpis20"/>
        <w:ind w:left="567"/>
      </w:pPr>
      <w:bookmarkStart w:id="3" w:name="_Toc256000003"/>
      <w:r w:rsidRPr="004A0E12">
        <w:lastRenderedPageBreak/>
        <w:t>Metodika hodnocení plnění cílů</w:t>
      </w:r>
      <w:r w:rsidR="005D7039" w:rsidRPr="004A0E12">
        <w:t xml:space="preserve"> </w:t>
      </w:r>
      <w:r w:rsidRPr="004A0E12">
        <w:t>POH</w:t>
      </w:r>
      <w:r w:rsidR="005D7039" w:rsidRPr="004A0E12">
        <w:t> </w:t>
      </w:r>
      <w:r w:rsidRPr="004A0E12">
        <w:t>ČR</w:t>
      </w:r>
      <w:bookmarkEnd w:id="3"/>
    </w:p>
    <w:p w:rsidR="00976449" w:rsidRPr="004A0E12" w:rsidRDefault="00976449" w:rsidP="0034324E"/>
    <w:p w:rsidR="00731838" w:rsidRPr="00390041" w:rsidRDefault="008C12E6" w:rsidP="00E27C80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 xml:space="preserve">K hodnocení </w:t>
      </w:r>
      <w:r w:rsidR="00E27C80" w:rsidRPr="00390041">
        <w:rPr>
          <w:rFonts w:ascii="Calibri" w:hAnsi="Calibri" w:cs="Calibri"/>
          <w:color w:val="000000"/>
          <w:szCs w:val="24"/>
        </w:rPr>
        <w:t xml:space="preserve">sledování vývoje dat o odpadovém hospodářství </w:t>
      </w:r>
      <w:r w:rsidRPr="00390041">
        <w:rPr>
          <w:rFonts w:ascii="Calibri" w:hAnsi="Calibri" w:cs="Calibri"/>
          <w:color w:val="000000"/>
          <w:szCs w:val="24"/>
        </w:rPr>
        <w:t xml:space="preserve">byla </w:t>
      </w:r>
      <w:r w:rsidR="00414643" w:rsidRPr="00390041">
        <w:rPr>
          <w:rFonts w:ascii="Calibri" w:hAnsi="Calibri" w:cs="Calibri"/>
          <w:color w:val="000000"/>
          <w:szCs w:val="24"/>
        </w:rPr>
        <w:t xml:space="preserve">z důvodu zachování </w:t>
      </w:r>
      <w:r w:rsidRPr="00390041">
        <w:rPr>
          <w:rFonts w:ascii="Calibri" w:hAnsi="Calibri" w:cs="Calibri"/>
          <w:color w:val="000000"/>
          <w:szCs w:val="24"/>
        </w:rPr>
        <w:t>d</w:t>
      </w:r>
      <w:r w:rsidR="00414643" w:rsidRPr="00390041">
        <w:rPr>
          <w:rFonts w:ascii="Calibri" w:hAnsi="Calibri" w:cs="Calibri"/>
          <w:color w:val="000000"/>
          <w:szCs w:val="24"/>
        </w:rPr>
        <w:t>atové</w:t>
      </w:r>
      <w:r w:rsidRPr="00390041">
        <w:rPr>
          <w:rFonts w:ascii="Calibri" w:hAnsi="Calibri" w:cs="Calibri"/>
          <w:color w:val="000000"/>
          <w:szCs w:val="24"/>
        </w:rPr>
        <w:t xml:space="preserve"> řady </w:t>
      </w:r>
      <w:r w:rsidR="00414643" w:rsidRPr="00390041">
        <w:rPr>
          <w:rFonts w:ascii="Calibri" w:hAnsi="Calibri" w:cs="Calibri"/>
          <w:color w:val="000000"/>
          <w:szCs w:val="24"/>
        </w:rPr>
        <w:t>a z důvodu vy</w:t>
      </w:r>
      <w:r w:rsidRPr="00390041">
        <w:rPr>
          <w:rFonts w:ascii="Calibri" w:hAnsi="Calibri" w:cs="Calibri"/>
          <w:color w:val="000000"/>
          <w:szCs w:val="24"/>
        </w:rPr>
        <w:t xml:space="preserve">hodnocení </w:t>
      </w:r>
      <w:r w:rsidR="00414643" w:rsidRPr="00390041">
        <w:rPr>
          <w:rFonts w:ascii="Calibri" w:hAnsi="Calibri" w:cs="Calibri"/>
          <w:color w:val="000000"/>
          <w:szCs w:val="24"/>
        </w:rPr>
        <w:t xml:space="preserve">trendů z ní </w:t>
      </w:r>
      <w:r w:rsidRPr="00390041">
        <w:rPr>
          <w:rFonts w:ascii="Calibri" w:hAnsi="Calibri" w:cs="Calibri"/>
          <w:color w:val="000000"/>
          <w:szCs w:val="24"/>
        </w:rPr>
        <w:t xml:space="preserve">využita </w:t>
      </w:r>
      <w:r w:rsidR="003A724B" w:rsidRPr="00390041">
        <w:rPr>
          <w:rFonts w:ascii="Calibri" w:hAnsi="Calibri" w:cs="Calibri"/>
          <w:color w:val="000000"/>
          <w:szCs w:val="24"/>
        </w:rPr>
        <w:t xml:space="preserve">dosavadní </w:t>
      </w:r>
      <w:r w:rsidR="00B658F0" w:rsidRPr="00390041">
        <w:rPr>
          <w:rFonts w:ascii="Calibri" w:hAnsi="Calibri" w:cs="Calibri"/>
          <w:color w:val="000000"/>
          <w:szCs w:val="24"/>
        </w:rPr>
        <w:t>m</w:t>
      </w:r>
      <w:r w:rsidRPr="00390041">
        <w:rPr>
          <w:rFonts w:ascii="Calibri" w:hAnsi="Calibri" w:cs="Calibri"/>
          <w:color w:val="000000"/>
          <w:szCs w:val="24"/>
        </w:rPr>
        <w:t xml:space="preserve">etodika </w:t>
      </w:r>
      <w:r w:rsidR="00B658F0" w:rsidRPr="00390041">
        <w:rPr>
          <w:rFonts w:ascii="Calibri" w:hAnsi="Calibri" w:cs="Calibri"/>
          <w:color w:val="000000"/>
          <w:szCs w:val="24"/>
        </w:rPr>
        <w:t>M</w:t>
      </w:r>
      <w:r w:rsidRPr="00390041">
        <w:rPr>
          <w:rFonts w:ascii="Calibri" w:hAnsi="Calibri" w:cs="Calibri"/>
          <w:color w:val="000000"/>
          <w:szCs w:val="24"/>
        </w:rPr>
        <w:t xml:space="preserve">atematického vyjádření </w:t>
      </w:r>
      <w:r w:rsidR="00B26D08" w:rsidRPr="00390041">
        <w:rPr>
          <w:rFonts w:ascii="Calibri" w:hAnsi="Calibri" w:cs="Calibri"/>
          <w:color w:val="000000"/>
          <w:szCs w:val="24"/>
        </w:rPr>
        <w:t>S</w:t>
      </w:r>
      <w:r w:rsidRPr="00390041">
        <w:rPr>
          <w:rFonts w:ascii="Calibri" w:hAnsi="Calibri" w:cs="Calibri"/>
          <w:color w:val="000000"/>
          <w:szCs w:val="24"/>
        </w:rPr>
        <w:t>oustavy indikátorů odpadového hospodářství</w:t>
      </w:r>
      <w:r w:rsidR="00945D44" w:rsidRPr="00390041">
        <w:rPr>
          <w:rFonts w:ascii="Calibri" w:hAnsi="Calibri" w:cs="Calibri"/>
          <w:color w:val="000000"/>
          <w:szCs w:val="24"/>
        </w:rPr>
        <w:t xml:space="preserve"> (</w:t>
      </w:r>
      <w:r w:rsidR="00F93F85" w:rsidRPr="00390041">
        <w:rPr>
          <w:rFonts w:ascii="Calibri" w:hAnsi="Calibri" w:cs="Calibri"/>
          <w:color w:val="000000"/>
          <w:szCs w:val="24"/>
        </w:rPr>
        <w:t>aktualizovaná v </w:t>
      </w:r>
      <w:r w:rsidR="00414643" w:rsidRPr="00390041">
        <w:rPr>
          <w:rFonts w:ascii="Calibri" w:hAnsi="Calibri" w:cs="Calibri"/>
          <w:color w:val="000000"/>
          <w:szCs w:val="24"/>
        </w:rPr>
        <w:t>září</w:t>
      </w:r>
      <w:r w:rsidR="00F93F85" w:rsidRPr="00390041">
        <w:rPr>
          <w:rFonts w:ascii="Calibri" w:hAnsi="Calibri" w:cs="Calibri"/>
          <w:color w:val="000000"/>
          <w:szCs w:val="24"/>
        </w:rPr>
        <w:t xml:space="preserve"> 20</w:t>
      </w:r>
      <w:r w:rsidRPr="00390041">
        <w:rPr>
          <w:rFonts w:ascii="Calibri" w:hAnsi="Calibri" w:cs="Calibri"/>
          <w:color w:val="000000"/>
          <w:szCs w:val="24"/>
        </w:rPr>
        <w:t>20</w:t>
      </w:r>
      <w:r w:rsidR="00F93F85" w:rsidRPr="00390041">
        <w:rPr>
          <w:rFonts w:ascii="Calibri" w:hAnsi="Calibri" w:cs="Calibri"/>
          <w:color w:val="000000"/>
          <w:szCs w:val="24"/>
        </w:rPr>
        <w:t xml:space="preserve"> pro účel vyhodnocení roku 201</w:t>
      </w:r>
      <w:r w:rsidRPr="00390041">
        <w:rPr>
          <w:rFonts w:ascii="Calibri" w:hAnsi="Calibri" w:cs="Calibri"/>
          <w:color w:val="000000"/>
          <w:szCs w:val="24"/>
        </w:rPr>
        <w:t>9 a aktualizovaná v říjnu 2021 pro účel vyhodnocení roku 2020</w:t>
      </w:r>
      <w:r w:rsidR="00945D44" w:rsidRPr="00390041">
        <w:rPr>
          <w:rFonts w:ascii="Calibri" w:hAnsi="Calibri" w:cs="Calibri"/>
          <w:color w:val="000000"/>
          <w:szCs w:val="24"/>
        </w:rPr>
        <w:t>)</w:t>
      </w:r>
      <w:r w:rsidR="004A0E12" w:rsidRPr="00390041">
        <w:rPr>
          <w:rFonts w:ascii="Calibri" w:hAnsi="Calibri" w:cs="Calibri"/>
          <w:color w:val="000000"/>
          <w:szCs w:val="24"/>
        </w:rPr>
        <w:t>, částečně byl</w:t>
      </w:r>
      <w:r w:rsidRPr="00390041">
        <w:rPr>
          <w:rFonts w:ascii="Calibri" w:hAnsi="Calibri" w:cs="Calibri"/>
          <w:color w:val="000000"/>
          <w:szCs w:val="24"/>
        </w:rPr>
        <w:t xml:space="preserve">y využity i nové </w:t>
      </w:r>
      <w:r w:rsidRPr="00390041">
        <w:rPr>
          <w:rFonts w:ascii="Calibri" w:hAnsi="Calibri" w:cs="Calibri"/>
          <w:color w:val="000000"/>
          <w:szCs w:val="24"/>
        </w:rPr>
        <w:t xml:space="preserve">přístupy. </w:t>
      </w:r>
    </w:p>
    <w:p w:rsidR="006C267E" w:rsidRPr="00390041" w:rsidRDefault="008C12E6" w:rsidP="00E27C80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color w:val="000000"/>
          <w:szCs w:val="24"/>
          <w:u w:val="single"/>
        </w:rPr>
      </w:pPr>
      <w:r w:rsidRPr="00390041">
        <w:rPr>
          <w:rFonts w:ascii="Calibri" w:hAnsi="Calibri" w:cs="Calibri"/>
          <w:color w:val="000000"/>
          <w:szCs w:val="24"/>
        </w:rPr>
        <w:t>K</w:t>
      </w:r>
      <w:r w:rsidR="004A0E12" w:rsidRPr="00390041">
        <w:rPr>
          <w:rFonts w:ascii="Calibri" w:hAnsi="Calibri" w:cs="Calibri"/>
          <w:color w:val="000000"/>
          <w:szCs w:val="24"/>
        </w:rPr>
        <w:t> </w:t>
      </w:r>
      <w:r w:rsidRPr="00390041">
        <w:rPr>
          <w:rFonts w:ascii="Calibri" w:hAnsi="Calibri" w:cs="Calibri"/>
          <w:color w:val="000000"/>
          <w:szCs w:val="24"/>
        </w:rPr>
        <w:t>ho</w:t>
      </w:r>
      <w:r w:rsidRPr="00390041">
        <w:rPr>
          <w:rFonts w:cs="Calibri"/>
          <w:szCs w:val="24"/>
        </w:rPr>
        <w:t>dnocení plnění POH ČR byla využita stupnice hodnocení</w:t>
      </w:r>
      <w:r w:rsidR="003A724B" w:rsidRPr="00390041">
        <w:rPr>
          <w:rFonts w:cs="Calibri"/>
          <w:szCs w:val="24"/>
        </w:rPr>
        <w:t xml:space="preserve"> z </w:t>
      </w:r>
      <w:r w:rsidR="00910DD6" w:rsidRPr="00390041">
        <w:rPr>
          <w:rFonts w:cs="Calibri"/>
          <w:szCs w:val="24"/>
        </w:rPr>
        <w:t>Metodik</w:t>
      </w:r>
      <w:r w:rsidR="00F93F85" w:rsidRPr="00390041">
        <w:rPr>
          <w:rFonts w:cs="Calibri"/>
          <w:szCs w:val="24"/>
        </w:rPr>
        <w:t>y</w:t>
      </w:r>
      <w:r w:rsidR="00910DD6" w:rsidRPr="00390041">
        <w:rPr>
          <w:rFonts w:cs="Calibri"/>
          <w:szCs w:val="24"/>
        </w:rPr>
        <w:t xml:space="preserve"> hodnocení cílů Plánu odpadového hospodářství České republiky </w:t>
      </w:r>
      <w:r w:rsidR="003A724B" w:rsidRPr="00390041">
        <w:rPr>
          <w:rFonts w:cs="Calibri"/>
          <w:szCs w:val="24"/>
        </w:rPr>
        <w:t>(schválen</w:t>
      </w:r>
      <w:r w:rsidR="00414643" w:rsidRPr="00390041">
        <w:rPr>
          <w:rFonts w:cs="Calibri"/>
          <w:szCs w:val="24"/>
        </w:rPr>
        <w:t>o</w:t>
      </w:r>
      <w:r w:rsidR="003A724B" w:rsidRPr="00390041">
        <w:rPr>
          <w:rFonts w:cs="Calibri"/>
          <w:szCs w:val="24"/>
        </w:rPr>
        <w:t xml:space="preserve"> v březnu 2019)</w:t>
      </w:r>
      <w:r w:rsidRPr="00390041">
        <w:rPr>
          <w:rFonts w:cs="Calibri"/>
          <w:szCs w:val="24"/>
        </w:rPr>
        <w:t xml:space="preserve">: </w:t>
      </w:r>
      <w:r w:rsidRPr="00390041">
        <w:rPr>
          <w:rFonts w:ascii="Calibri" w:hAnsi="Calibri" w:cs="Calibri"/>
          <w:b/>
          <w:color w:val="000000"/>
          <w:szCs w:val="24"/>
          <w:u w:val="single"/>
        </w:rPr>
        <w:t xml:space="preserve"> </w:t>
      </w:r>
    </w:p>
    <w:p w:rsidR="00910DD6" w:rsidRPr="00390041" w:rsidRDefault="008C12E6" w:rsidP="002A3AEC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color w:val="000000"/>
          <w:szCs w:val="24"/>
        </w:rPr>
      </w:pPr>
      <w:r w:rsidRPr="00390041">
        <w:rPr>
          <w:rFonts w:ascii="Calibri" w:hAnsi="Calibri" w:cs="Calibri"/>
          <w:b/>
          <w:color w:val="000000"/>
          <w:szCs w:val="24"/>
        </w:rPr>
        <w:t xml:space="preserve">Plnění cílů je hodnoceno dle stupnice: </w:t>
      </w:r>
    </w:p>
    <w:p w:rsidR="00910DD6" w:rsidRPr="00390041" w:rsidRDefault="008C12E6" w:rsidP="00910DD6">
      <w:pPr>
        <w:autoSpaceDE w:val="0"/>
        <w:autoSpaceDN w:val="0"/>
        <w:adjustRightInd w:val="0"/>
        <w:spacing w:after="68"/>
        <w:jc w:val="left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b/>
          <w:bCs/>
          <w:color w:val="000000"/>
          <w:szCs w:val="24"/>
        </w:rPr>
        <w:t xml:space="preserve">‐ cíl plněn, </w:t>
      </w:r>
    </w:p>
    <w:p w:rsidR="00910DD6" w:rsidRPr="00390041" w:rsidRDefault="008C12E6" w:rsidP="00910DD6">
      <w:pPr>
        <w:autoSpaceDE w:val="0"/>
        <w:autoSpaceDN w:val="0"/>
        <w:adjustRightInd w:val="0"/>
        <w:spacing w:after="68"/>
        <w:jc w:val="left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b/>
          <w:bCs/>
          <w:color w:val="000000"/>
          <w:szCs w:val="24"/>
        </w:rPr>
        <w:t xml:space="preserve">‐ cíl částečně plněn, </w:t>
      </w:r>
    </w:p>
    <w:p w:rsidR="00910DD6" w:rsidRPr="00390041" w:rsidRDefault="008C12E6" w:rsidP="00910DD6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b/>
          <w:bCs/>
          <w:color w:val="000000"/>
          <w:szCs w:val="24"/>
        </w:rPr>
        <w:t xml:space="preserve">‐ cíl není plněn. </w:t>
      </w:r>
    </w:p>
    <w:p w:rsidR="00910DD6" w:rsidRPr="00390041" w:rsidRDefault="008C12E6" w:rsidP="00A4094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>"</w:t>
      </w:r>
      <w:r w:rsidRPr="00390041">
        <w:rPr>
          <w:rFonts w:ascii="Calibri" w:hAnsi="Calibri" w:cs="Calibri"/>
          <w:b/>
          <w:bCs/>
          <w:color w:val="000000"/>
          <w:szCs w:val="24"/>
        </w:rPr>
        <w:t>Cíl plněn</w:t>
      </w:r>
      <w:r w:rsidRPr="00390041">
        <w:rPr>
          <w:rFonts w:ascii="Calibri" w:hAnsi="Calibri" w:cs="Calibri"/>
          <w:color w:val="000000"/>
          <w:szCs w:val="24"/>
        </w:rPr>
        <w:t xml:space="preserve">" </w:t>
      </w:r>
      <w:r w:rsidR="00C14E35" w:rsidRPr="00390041">
        <w:rPr>
          <w:rFonts w:ascii="Calibri" w:hAnsi="Calibri" w:cs="Calibri"/>
          <w:color w:val="000000"/>
          <w:szCs w:val="24"/>
        </w:rPr>
        <w:t xml:space="preserve">- </w:t>
      </w:r>
      <w:r w:rsidRPr="00390041">
        <w:rPr>
          <w:rFonts w:ascii="Calibri" w:hAnsi="Calibri" w:cs="Calibri"/>
          <w:color w:val="000000"/>
          <w:szCs w:val="24"/>
        </w:rPr>
        <w:t xml:space="preserve">jsou plněna vhodná opatření, probíhají </w:t>
      </w:r>
      <w:r w:rsidR="00C14E35" w:rsidRPr="00390041">
        <w:rPr>
          <w:rFonts w:ascii="Calibri" w:hAnsi="Calibri" w:cs="Calibri"/>
          <w:color w:val="000000"/>
          <w:szCs w:val="24"/>
        </w:rPr>
        <w:t xml:space="preserve">aktivity </w:t>
      </w:r>
      <w:r w:rsidRPr="00390041">
        <w:rPr>
          <w:rFonts w:ascii="Calibri" w:hAnsi="Calibri" w:cs="Calibri"/>
          <w:color w:val="000000"/>
          <w:szCs w:val="24"/>
        </w:rPr>
        <w:t xml:space="preserve">na plnění, úkol pokračuje, cíl bude hodnocen i v dalším období. </w:t>
      </w:r>
    </w:p>
    <w:p w:rsidR="00910DD6" w:rsidRPr="00390041" w:rsidRDefault="008C12E6" w:rsidP="00A4094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>"</w:t>
      </w:r>
      <w:r w:rsidRPr="00390041">
        <w:rPr>
          <w:rFonts w:ascii="Calibri" w:hAnsi="Calibri" w:cs="Calibri"/>
          <w:b/>
          <w:bCs/>
          <w:color w:val="000000"/>
          <w:szCs w:val="24"/>
        </w:rPr>
        <w:t>Cíl částečně plněn</w:t>
      </w:r>
      <w:r w:rsidRPr="00390041">
        <w:rPr>
          <w:rFonts w:ascii="Calibri" w:hAnsi="Calibri" w:cs="Calibri"/>
          <w:color w:val="000000"/>
          <w:szCs w:val="24"/>
        </w:rPr>
        <w:t xml:space="preserve">" </w:t>
      </w:r>
      <w:r w:rsidR="00C14E35" w:rsidRPr="00390041">
        <w:rPr>
          <w:rFonts w:ascii="Calibri" w:hAnsi="Calibri" w:cs="Calibri"/>
          <w:color w:val="000000"/>
          <w:szCs w:val="24"/>
        </w:rPr>
        <w:t xml:space="preserve">- </w:t>
      </w:r>
      <w:r w:rsidRPr="00390041">
        <w:rPr>
          <w:rFonts w:ascii="Calibri" w:hAnsi="Calibri" w:cs="Calibri"/>
          <w:color w:val="000000"/>
          <w:szCs w:val="24"/>
        </w:rPr>
        <w:t xml:space="preserve">probíhají </w:t>
      </w:r>
      <w:r w:rsidR="00C14E35" w:rsidRPr="00390041">
        <w:rPr>
          <w:rFonts w:ascii="Calibri" w:hAnsi="Calibri" w:cs="Calibri"/>
          <w:color w:val="000000"/>
          <w:szCs w:val="24"/>
        </w:rPr>
        <w:t xml:space="preserve">aktivity </w:t>
      </w:r>
      <w:r w:rsidRPr="00390041">
        <w:rPr>
          <w:rFonts w:ascii="Calibri" w:hAnsi="Calibri" w:cs="Calibri"/>
          <w:color w:val="000000"/>
          <w:szCs w:val="24"/>
        </w:rPr>
        <w:t>na plnění, nebylo přistoupeno k plnění všech vhodných opatření, úkol</w:t>
      </w:r>
      <w:r w:rsidRPr="00390041">
        <w:rPr>
          <w:rFonts w:ascii="Calibri" w:hAnsi="Calibri" w:cs="Calibri"/>
          <w:color w:val="000000"/>
          <w:szCs w:val="24"/>
        </w:rPr>
        <w:t xml:space="preserve"> pokračuje, cíl bude hodnocen i v dalším období. Může být identifikován problém při plnění a doporučen další vhodný postup. </w:t>
      </w:r>
    </w:p>
    <w:p w:rsidR="00910DD6" w:rsidRPr="00390041" w:rsidRDefault="008C12E6" w:rsidP="00A4094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>„</w:t>
      </w:r>
      <w:r w:rsidRPr="00390041">
        <w:rPr>
          <w:rFonts w:ascii="Calibri" w:hAnsi="Calibri" w:cs="Calibri"/>
          <w:b/>
          <w:bCs/>
          <w:color w:val="000000"/>
          <w:szCs w:val="24"/>
        </w:rPr>
        <w:t>Cíl není plněn</w:t>
      </w:r>
      <w:r w:rsidRPr="00390041">
        <w:rPr>
          <w:rFonts w:ascii="Calibri" w:hAnsi="Calibri" w:cs="Calibri"/>
          <w:color w:val="000000"/>
          <w:szCs w:val="24"/>
        </w:rPr>
        <w:t xml:space="preserve">“ </w:t>
      </w:r>
      <w:r w:rsidR="00C14E35" w:rsidRPr="00390041">
        <w:rPr>
          <w:rFonts w:ascii="Calibri" w:hAnsi="Calibri" w:cs="Calibri"/>
          <w:color w:val="000000"/>
          <w:szCs w:val="24"/>
        </w:rPr>
        <w:t xml:space="preserve">- </w:t>
      </w:r>
      <w:r w:rsidRPr="00390041">
        <w:rPr>
          <w:rFonts w:ascii="Calibri" w:hAnsi="Calibri" w:cs="Calibri"/>
          <w:color w:val="000000"/>
          <w:szCs w:val="24"/>
        </w:rPr>
        <w:t xml:space="preserve">doposud neprobíhají žádné </w:t>
      </w:r>
      <w:r w:rsidR="00C14E35" w:rsidRPr="00390041">
        <w:rPr>
          <w:rFonts w:ascii="Calibri" w:hAnsi="Calibri" w:cs="Calibri"/>
          <w:color w:val="000000"/>
          <w:szCs w:val="24"/>
        </w:rPr>
        <w:t xml:space="preserve">aktivity </w:t>
      </w:r>
      <w:r w:rsidRPr="00390041">
        <w:rPr>
          <w:rFonts w:ascii="Calibri" w:hAnsi="Calibri" w:cs="Calibri"/>
          <w:color w:val="000000"/>
          <w:szCs w:val="24"/>
        </w:rPr>
        <w:t xml:space="preserve">na plnění, zatím nebylo přistoupeno k plnění žádných vhodných opatření. Úkol </w:t>
      </w:r>
      <w:r w:rsidRPr="00390041">
        <w:rPr>
          <w:rFonts w:ascii="Calibri" w:hAnsi="Calibri" w:cs="Calibri"/>
          <w:color w:val="000000"/>
          <w:szCs w:val="24"/>
        </w:rPr>
        <w:t xml:space="preserve">pokračuje a cíl bude hodnocen v dalším období. </w:t>
      </w:r>
    </w:p>
    <w:p w:rsidR="00910DD6" w:rsidRPr="004A0E12" w:rsidRDefault="008C12E6" w:rsidP="00910DD6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color w:val="000000"/>
          <w:szCs w:val="24"/>
        </w:rPr>
      </w:pPr>
      <w:r w:rsidRPr="00390041">
        <w:rPr>
          <w:rFonts w:ascii="Calibri" w:hAnsi="Calibri" w:cs="Calibri"/>
          <w:color w:val="000000"/>
          <w:szCs w:val="24"/>
        </w:rPr>
        <w:t>V rámci hodnotící zprávy je vyhodnoceno plnění jednotlivých cílů a souhrnně posouzeno plnění strategie.</w:t>
      </w:r>
      <w:r w:rsidRPr="004A0E12">
        <w:rPr>
          <w:rFonts w:ascii="Calibri" w:hAnsi="Calibri" w:cs="Calibri"/>
          <w:color w:val="000000"/>
          <w:szCs w:val="24"/>
        </w:rPr>
        <w:t xml:space="preserve"> </w:t>
      </w:r>
    </w:p>
    <w:p w:rsidR="00D66A1B" w:rsidRDefault="00D66A1B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F255E3" w:rsidRDefault="008C12E6">
      <w:pPr>
        <w:spacing w:after="20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031A1B" w:rsidRDefault="008C12E6" w:rsidP="00C27DC3">
      <w:pPr>
        <w:pStyle w:val="Nadpis1"/>
      </w:pPr>
      <w:bookmarkStart w:id="4" w:name="_Toc256000004"/>
      <w:r>
        <w:lastRenderedPageBreak/>
        <w:t>Vyhodnocení plnění POH ČR</w:t>
      </w:r>
      <w:bookmarkEnd w:id="4"/>
    </w:p>
    <w:p w:rsidR="00D66A1B" w:rsidRDefault="00D66A1B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D66A1B" w:rsidRPr="00227770" w:rsidRDefault="008C12E6" w:rsidP="00227770">
      <w:pPr>
        <w:pStyle w:val="Nadpis20"/>
        <w:ind w:left="567"/>
      </w:pPr>
      <w:bookmarkStart w:id="5" w:name="_Toc256000005"/>
      <w:r w:rsidRPr="00227770">
        <w:t>Soustava indikátorů odpadového hospodářství 201</w:t>
      </w:r>
      <w:r w:rsidR="00731838">
        <w:t>9</w:t>
      </w:r>
      <w:r w:rsidRPr="00227770">
        <w:t xml:space="preserve"> a 20</w:t>
      </w:r>
      <w:r w:rsidR="00731838">
        <w:t>20</w:t>
      </w:r>
      <w:bookmarkEnd w:id="5"/>
    </w:p>
    <w:p w:rsidR="00031A1B" w:rsidRDefault="00031A1B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59"/>
        <w:gridCol w:w="1560"/>
        <w:gridCol w:w="992"/>
        <w:gridCol w:w="1134"/>
        <w:gridCol w:w="992"/>
        <w:gridCol w:w="1134"/>
      </w:tblGrid>
      <w:tr w:rsidR="007E5173" w:rsidTr="00B24E28">
        <w:trPr>
          <w:trHeight w:val="300"/>
        </w:trPr>
        <w:tc>
          <w:tcPr>
            <w:tcW w:w="3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B5AC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INDIKÁTORY 2019</w:t>
            </w:r>
            <w:r w:rsidRPr="006B5AC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br/>
            </w:r>
            <w:r w:rsidRPr="006B5AC3">
              <w:rPr>
                <w:rFonts w:eastAsia="Times New Roman" w:cs="Arial"/>
                <w:sz w:val="20"/>
                <w:szCs w:val="20"/>
                <w:lang w:eastAsia="cs-CZ"/>
              </w:rPr>
              <w:t>(Název indikátorů)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Jednotka (zkráceně)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Samostatně vyhodnoceno pro odpady:</w:t>
            </w:r>
          </w:p>
        </w:tc>
      </w:tr>
      <w:tr w:rsidR="007E5173" w:rsidTr="00B24E28">
        <w:trPr>
          <w:trHeight w:val="288"/>
        </w:trPr>
        <w:tc>
          <w:tcPr>
            <w:tcW w:w="3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0B25" w:rsidRPr="006B5AC3" w:rsidRDefault="00620B25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0B25" w:rsidRPr="006B5AC3" w:rsidRDefault="00620B25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6B5AC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všechny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6B5AC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nebezpečné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6B5AC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6B5AC3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komunální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 odpadů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1000 t/rok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37 362,26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1 758,50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35 603,75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5 879,16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 odpadů na jednotku HDP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t/1000 PPS/rok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0,02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na celkové produkci odpadů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4,71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95,29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15,74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I.4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Produkce na obyvatele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kg/obyvatele/rok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3 501,84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164,82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3 337,02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551,03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I.5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Podíl využitých odpadů (</w:t>
            </w:r>
            <w:proofErr w:type="gramStart"/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R1- R12</w:t>
            </w:r>
            <w:proofErr w:type="gramEnd"/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, N1, N8, N11, N12, N13, N15)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88,23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36,91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90,77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52,69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I.6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Podíl materiálově využitých odpadů (</w:t>
            </w:r>
            <w:proofErr w:type="gramStart"/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R2 - R12</w:t>
            </w:r>
            <w:proofErr w:type="gramEnd"/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, N1, N8, N11, N12, N13, N15)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84,76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34,42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87,25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40,97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I.7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Podíl energeticky využitých odpadů (R1)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2,49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11,72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I.8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odpadů odstraněných skládkováním </w:t>
            </w: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(D1, D5, D12)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9,67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2,99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45,86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I.9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Podíl odpadů odstraněných jiným uložením (D3, D4)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</w:tr>
      <w:tr w:rsidR="007E5173" w:rsidTr="00B24E28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I.10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Podíl odpadů odstraněných spalováním (D10)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4,93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0,06 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I.20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nebezpečných odpadů ze zdravotnictví na </w:t>
            </w: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celkové produkci odpadů ze zdravotnictví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80,07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Produkce odděleného sběru komunálních odpadů a obalů (podskupina 20 01 a 15 01) od obcí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kg/obyvatele/rok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134,82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Podíl stavebních a demoličních odpadů na celkové produkci odpadů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55,77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4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I.24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využitých stavebních a demoličních odpadů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98,75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I.25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stavebních a demoličních odpadů odstraněných skládkováním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I.27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 odpadů s obsahem PCB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1 066,40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I.28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</w:t>
            </w: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 odpadních olejů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40 447,95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I.29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 odpadních baterií a akumulátorů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35 081,03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I.30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 kalů z čistíren odpadních vod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162 721,20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I.31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kalů z produkce čistíren odpadních vod použitých na zemědělské půdě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28,59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I.32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 odpadů azbestu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45 422,22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B24E28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I.33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B25" w:rsidRPr="006B5AC3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Celková produkce autovraků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 xml:space="preserve">203 571,07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25" w:rsidRPr="006B5AC3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5AC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620B25" w:rsidRDefault="008C12E6" w:rsidP="00620B25">
      <w:pPr>
        <w:autoSpaceDE w:val="0"/>
        <w:autoSpaceDN w:val="0"/>
        <w:adjustRightInd w:val="0"/>
        <w:spacing w:after="120" w:line="276" w:lineRule="auto"/>
        <w:rPr>
          <w:rFonts w:ascii="Calibri" w:hAnsi="Calibri"/>
          <w:i/>
          <w:sz w:val="22"/>
          <w:vertAlign w:val="subscript"/>
        </w:rPr>
      </w:pPr>
      <w:r w:rsidRPr="00904797">
        <w:rPr>
          <w:rFonts w:ascii="Calibri" w:hAnsi="Calibri"/>
          <w:i/>
          <w:sz w:val="22"/>
          <w:vertAlign w:val="subscript"/>
        </w:rPr>
        <w:t xml:space="preserve">* Pro výpočet </w:t>
      </w:r>
      <w:r>
        <w:rPr>
          <w:rFonts w:ascii="Calibri" w:hAnsi="Calibri"/>
          <w:i/>
          <w:sz w:val="22"/>
          <w:vertAlign w:val="subscript"/>
        </w:rPr>
        <w:t>byl</w:t>
      </w:r>
      <w:r w:rsidRPr="00904797">
        <w:rPr>
          <w:rFonts w:ascii="Calibri" w:hAnsi="Calibri"/>
          <w:i/>
          <w:sz w:val="22"/>
          <w:vertAlign w:val="subscript"/>
        </w:rPr>
        <w:t xml:space="preserve"> použit údaj HDP za 3. čtvrtletí vyhlašovaný ČSÚ</w:t>
      </w:r>
    </w:p>
    <w:p w:rsidR="00620B25" w:rsidRPr="00555846" w:rsidRDefault="008C12E6" w:rsidP="00620B25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555846">
        <w:rPr>
          <w:rFonts w:ascii="Calibri" w:hAnsi="Calibri"/>
          <w:i/>
          <w:sz w:val="20"/>
          <w:szCs w:val="20"/>
        </w:rPr>
        <w:t>Zdroj: ISOH, MŽP 202</w:t>
      </w:r>
      <w:r>
        <w:rPr>
          <w:rFonts w:ascii="Calibri" w:hAnsi="Calibri"/>
          <w:i/>
          <w:sz w:val="20"/>
          <w:szCs w:val="20"/>
        </w:rPr>
        <w:t>0</w:t>
      </w:r>
      <w:r w:rsidRPr="00555846">
        <w:rPr>
          <w:rFonts w:ascii="Calibri" w:hAnsi="Calibri"/>
          <w:i/>
          <w:sz w:val="20"/>
          <w:szCs w:val="20"/>
        </w:rPr>
        <w:t>, zpracovala CENIA</w:t>
      </w:r>
    </w:p>
    <w:p w:rsidR="00620B25" w:rsidRDefault="00620B25" w:rsidP="00620B25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C339B6" w:rsidRDefault="00C339B6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731838" w:rsidRDefault="00731838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tbl>
      <w:tblPr>
        <w:tblW w:w="92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33"/>
        <w:gridCol w:w="1276"/>
        <w:gridCol w:w="1134"/>
        <w:gridCol w:w="1134"/>
        <w:gridCol w:w="1134"/>
        <w:gridCol w:w="1134"/>
      </w:tblGrid>
      <w:tr w:rsidR="007E5173" w:rsidTr="00555846">
        <w:trPr>
          <w:trHeight w:val="417"/>
        </w:trPr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584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lastRenderedPageBreak/>
              <w:t>INDIKÁTORY 2020</w:t>
            </w:r>
            <w:r w:rsidRPr="0055584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br/>
            </w:r>
            <w:r w:rsidRPr="00895982">
              <w:rPr>
                <w:rFonts w:eastAsia="Times New Roman" w:cs="Arial"/>
                <w:sz w:val="18"/>
                <w:szCs w:val="18"/>
                <w:lang w:eastAsia="cs-CZ"/>
              </w:rPr>
              <w:t>(Název indikátorů</w:t>
            </w: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Jednotka (zkráceně)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Samostatně vyhodnoceno pro odpady:</w:t>
            </w:r>
          </w:p>
        </w:tc>
      </w:tr>
      <w:tr w:rsidR="007E5173" w:rsidTr="00555846">
        <w:trPr>
          <w:trHeight w:val="404"/>
        </w:trPr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5982" w:rsidRPr="00895982" w:rsidRDefault="00895982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5982" w:rsidRPr="00895982" w:rsidRDefault="00895982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95982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všechny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95982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nebezpečné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95982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895982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komunální</w:t>
            </w:r>
          </w:p>
        </w:tc>
      </w:tr>
      <w:tr w:rsidR="007E5173" w:rsidTr="00555846">
        <w:trPr>
          <w:trHeight w:val="37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I.1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Celková produkce odpadů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1000 t/rok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38 503,66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1 781,82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36 721,84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5 729,92 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Celková produkce odpadů na jednotku HDP 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t/1000 PPS/rok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0,02 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I.3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na celkové produkci odpadů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4,63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95,37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14,88 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I.4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Produkce na obyvatele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kg/obyvatele/rok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3 598,42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166,52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3 431,90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535,50 </w:t>
            </w:r>
          </w:p>
        </w:tc>
      </w:tr>
      <w:tr w:rsidR="007E5173" w:rsidTr="00555846">
        <w:trPr>
          <w:trHeight w:val="233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I.5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Podíl využitých odpadů (</w:t>
            </w:r>
            <w:proofErr w:type="gramStart"/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R1- R12</w:t>
            </w:r>
            <w:proofErr w:type="gramEnd"/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, N1, N8, N11, N12, N13, N15)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89,75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33,82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92,46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51,22 </w:t>
            </w:r>
          </w:p>
        </w:tc>
      </w:tr>
      <w:tr w:rsidR="007E5173" w:rsidTr="00555846">
        <w:trPr>
          <w:trHeight w:val="233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I.6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Podíl materiálově využitých odpadů (</w:t>
            </w:r>
            <w:proofErr w:type="gramStart"/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R2 - R12</w:t>
            </w:r>
            <w:proofErr w:type="gramEnd"/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, N1, N8, N11, N12, N13, N15)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86,16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30,38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88,86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38,64 </w:t>
            </w:r>
          </w:p>
        </w:tc>
      </w:tr>
      <w:tr w:rsidR="007E5173" w:rsidTr="00555846">
        <w:trPr>
          <w:trHeight w:val="233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I.7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</w:t>
            </w: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energeticky využitých odpadů (R1)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12,59 </w:t>
            </w:r>
          </w:p>
        </w:tc>
      </w:tr>
      <w:tr w:rsidR="007E5173" w:rsidTr="00555846">
        <w:trPr>
          <w:trHeight w:val="233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I.8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Podíl odpadů odstraněných skládkováním (D1, D5, D12)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9,77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10,03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47,77 </w:t>
            </w:r>
          </w:p>
        </w:tc>
      </w:tr>
      <w:tr w:rsidR="007E5173" w:rsidTr="00555846">
        <w:trPr>
          <w:trHeight w:val="233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I.9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555846">
            <w:pPr>
              <w:ind w:right="-70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Podíl odpadů odstraněných jiným uložením (D3, D4)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0,00 </w:t>
            </w:r>
          </w:p>
        </w:tc>
      </w:tr>
      <w:tr w:rsidR="007E5173" w:rsidTr="00555846">
        <w:trPr>
          <w:trHeight w:val="246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I.10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odpadů </w:t>
            </w: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odstraněných spalováním (D10)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4,70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0,08 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I.20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Podíl nebezpečných odpadů ze zdravotnictví na celkové produkci odpadů ze zdravotnictví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81,36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I.21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Produkce odděleného sběru komunálních odpadů a obalů (podskupina 20 01 a 15 01) od </w:t>
            </w: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obcí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kg/obyvatele/rok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128,46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I.23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Podíl stavebních a demoličních odpadů na celkové produkci odpadů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58,51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3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I.24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využitých stavebních a demoličních odpadů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I.25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stavebních a demoličních odpadů odstraněných </w:t>
            </w: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skládkováním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I.27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Celková produkce odpadů s obsahem PCB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45,15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I.28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Celková produkce odpadních olejů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29 899,70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I.29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Celková produkce odpadních baterií a akumulátorů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31 465,58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I.30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Celková produkce kalů </w:t>
            </w: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z čistíren odpadních vod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157 845,70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I.31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kalů z produkce čistíren odpadních vod použitých na zemědělské půdě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26,18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I.32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Celková produkce odpadů azbestu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68 717,64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E5173" w:rsidTr="00555846">
        <w:trPr>
          <w:trHeight w:val="22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080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I.33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982" w:rsidRPr="00895982" w:rsidRDefault="008C12E6" w:rsidP="00B24E28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Celková produkce autovraků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t/rok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 xml:space="preserve">193 400,62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982" w:rsidRPr="00895982" w:rsidRDefault="008C12E6" w:rsidP="00B24E28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95982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04797" w:rsidRDefault="008C12E6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i/>
          <w:sz w:val="22"/>
          <w:vertAlign w:val="subscript"/>
        </w:rPr>
      </w:pPr>
      <w:r w:rsidRPr="00904797">
        <w:rPr>
          <w:rFonts w:ascii="Calibri" w:hAnsi="Calibri"/>
          <w:i/>
          <w:sz w:val="22"/>
          <w:vertAlign w:val="subscript"/>
        </w:rPr>
        <w:t xml:space="preserve">* Pro výpočet </w:t>
      </w:r>
      <w:r>
        <w:rPr>
          <w:rFonts w:ascii="Calibri" w:hAnsi="Calibri"/>
          <w:i/>
          <w:sz w:val="22"/>
          <w:vertAlign w:val="subscript"/>
        </w:rPr>
        <w:t>byl</w:t>
      </w:r>
      <w:r w:rsidRPr="00904797">
        <w:rPr>
          <w:rFonts w:ascii="Calibri" w:hAnsi="Calibri"/>
          <w:i/>
          <w:sz w:val="22"/>
          <w:vertAlign w:val="subscript"/>
        </w:rPr>
        <w:t xml:space="preserve"> použit údaj HDP za 3. čtvrtletí vyhlašovaný ČSÚ</w:t>
      </w:r>
    </w:p>
    <w:p w:rsidR="00930B53" w:rsidRPr="00555846" w:rsidRDefault="008C12E6" w:rsidP="00904797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555846">
        <w:rPr>
          <w:rFonts w:ascii="Calibri" w:hAnsi="Calibri"/>
          <w:i/>
          <w:sz w:val="20"/>
          <w:szCs w:val="20"/>
        </w:rPr>
        <w:t>Zdroj: ISOH, MŽP 20</w:t>
      </w:r>
      <w:r w:rsidR="00731838" w:rsidRPr="00555846">
        <w:rPr>
          <w:rFonts w:ascii="Calibri" w:hAnsi="Calibri"/>
          <w:i/>
          <w:sz w:val="20"/>
          <w:szCs w:val="20"/>
        </w:rPr>
        <w:t>21</w:t>
      </w:r>
      <w:r w:rsidR="00904797" w:rsidRPr="00555846">
        <w:rPr>
          <w:rFonts w:ascii="Calibri" w:hAnsi="Calibri"/>
          <w:i/>
          <w:sz w:val="20"/>
          <w:szCs w:val="20"/>
        </w:rPr>
        <w:t>, zpracovala CENIA</w:t>
      </w:r>
    </w:p>
    <w:p w:rsidR="00234B4A" w:rsidRDefault="00234B4A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234B4A" w:rsidRDefault="00234B4A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234B4A" w:rsidRDefault="00234B4A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234B4A" w:rsidRDefault="00234B4A" w:rsidP="006C267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Cs w:val="24"/>
        </w:rPr>
      </w:pPr>
    </w:p>
    <w:p w:rsidR="00234B4A" w:rsidRDefault="008C12E6" w:rsidP="00382285">
      <w:pPr>
        <w:spacing w:after="20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D66A1B" w:rsidRPr="00144737" w:rsidRDefault="008C12E6" w:rsidP="00A315F7">
      <w:pPr>
        <w:pStyle w:val="Nadpis20"/>
        <w:ind w:left="567"/>
      </w:pPr>
      <w:bookmarkStart w:id="6" w:name="_Toc256000006"/>
      <w:r w:rsidRPr="00144737">
        <w:lastRenderedPageBreak/>
        <w:t>Stav odpadového hospodářství a plnění cílů POH ČR</w:t>
      </w:r>
      <w:bookmarkEnd w:id="6"/>
    </w:p>
    <w:p w:rsidR="00DB55A6" w:rsidRPr="00144737" w:rsidRDefault="00DB55A6" w:rsidP="00B7598F">
      <w:pPr>
        <w:spacing w:after="120" w:line="276" w:lineRule="auto"/>
        <w:rPr>
          <w:b/>
          <w:sz w:val="26"/>
          <w:szCs w:val="26"/>
          <w:u w:val="single"/>
        </w:rPr>
      </w:pPr>
    </w:p>
    <w:p w:rsidR="000045E1" w:rsidRPr="00D57D3F" w:rsidRDefault="008C12E6" w:rsidP="00B7598F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>Produkce odpadů</w:t>
      </w:r>
    </w:p>
    <w:p w:rsidR="00B7598F" w:rsidRPr="00D57D3F" w:rsidRDefault="008C12E6" w:rsidP="00F12E8F">
      <w:pPr>
        <w:spacing w:after="120" w:line="276" w:lineRule="auto"/>
      </w:pPr>
      <w:r w:rsidRPr="00D57D3F">
        <w:rPr>
          <w:b/>
        </w:rPr>
        <w:t>Celková produkce odpadů</w:t>
      </w:r>
      <w:r w:rsidRPr="00D57D3F">
        <w:t xml:space="preserve"> v období </w:t>
      </w:r>
      <w:r w:rsidR="00193AA7" w:rsidRPr="00D57D3F">
        <w:t>2019–2020</w:t>
      </w:r>
      <w:r w:rsidRPr="00D57D3F">
        <w:t xml:space="preserve"> </w:t>
      </w:r>
      <w:r w:rsidR="00003203" w:rsidRPr="00D57D3F">
        <w:t xml:space="preserve">vzrostla </w:t>
      </w:r>
      <w:r w:rsidRPr="00D57D3F">
        <w:t>o </w:t>
      </w:r>
      <w:r w:rsidR="009E7C0A" w:rsidRPr="00D57D3F">
        <w:t>3,1</w:t>
      </w:r>
      <w:r w:rsidR="00003203" w:rsidRPr="00D57D3F">
        <w:t>5</w:t>
      </w:r>
      <w:r w:rsidRPr="00D57D3F">
        <w:t xml:space="preserve"> % </w:t>
      </w:r>
      <w:r w:rsidR="00D003B3" w:rsidRPr="00D57D3F">
        <w:t>z</w:t>
      </w:r>
      <w:r w:rsidR="00AB2D2D" w:rsidRPr="00D57D3F">
        <w:t> </w:t>
      </w:r>
      <w:r w:rsidR="00537AA4" w:rsidRPr="00D57D3F">
        <w:t>3</w:t>
      </w:r>
      <w:r w:rsidR="00AB2D2D" w:rsidRPr="00D57D3F">
        <w:t>7 362,3</w:t>
      </w:r>
      <w:r w:rsidR="00D003B3" w:rsidRPr="00D57D3F">
        <w:t xml:space="preserve"> tis. t v roce 201</w:t>
      </w:r>
      <w:r w:rsidR="009E7C0A" w:rsidRPr="00D57D3F">
        <w:t>9</w:t>
      </w:r>
      <w:r w:rsidR="00D003B3" w:rsidRPr="00D57D3F">
        <w:t xml:space="preserve"> </w:t>
      </w:r>
      <w:r w:rsidRPr="00D57D3F">
        <w:t xml:space="preserve">na hodnotu </w:t>
      </w:r>
      <w:r w:rsidR="009E7C0A" w:rsidRPr="00D57D3F">
        <w:t xml:space="preserve">38 503,7 </w:t>
      </w:r>
      <w:r w:rsidRPr="00D57D3F">
        <w:t>tis. t</w:t>
      </w:r>
      <w:r w:rsidR="00D003B3" w:rsidRPr="00D57D3F">
        <w:t xml:space="preserve"> v roce 20</w:t>
      </w:r>
      <w:r w:rsidR="009E7C0A" w:rsidRPr="00D57D3F">
        <w:t>20</w:t>
      </w:r>
      <w:r w:rsidRPr="00D57D3F">
        <w:t xml:space="preserve">. </w:t>
      </w:r>
      <w:r w:rsidR="0044019A" w:rsidRPr="00D57D3F">
        <w:t xml:space="preserve">Meziročně vzrostla o </w:t>
      </w:r>
      <w:r w:rsidR="00AB2D2D" w:rsidRPr="00D57D3F">
        <w:t>1 141, 4</w:t>
      </w:r>
      <w:r w:rsidR="00E6694B" w:rsidRPr="00D57D3F">
        <w:t xml:space="preserve"> tis.</w:t>
      </w:r>
      <w:r w:rsidR="0044019A" w:rsidRPr="00D57D3F">
        <w:t xml:space="preserve"> t. </w:t>
      </w:r>
      <w:r w:rsidR="00E9417F" w:rsidRPr="00D57D3F">
        <w:rPr>
          <w:b/>
        </w:rPr>
        <w:t>Celková p</w:t>
      </w:r>
      <w:r w:rsidRPr="00D57D3F">
        <w:rPr>
          <w:b/>
        </w:rPr>
        <w:t>rodukce odpadů na obyvatele</w:t>
      </w:r>
      <w:r w:rsidRPr="00D57D3F">
        <w:t xml:space="preserve"> v roce 20</w:t>
      </w:r>
      <w:r w:rsidR="009E7C0A" w:rsidRPr="00D57D3F">
        <w:t>20</w:t>
      </w:r>
      <w:r w:rsidRPr="00D57D3F">
        <w:t xml:space="preserve"> činila </w:t>
      </w:r>
      <w:r w:rsidR="009E7C0A" w:rsidRPr="00D57D3F">
        <w:t>3 598 </w:t>
      </w:r>
      <w:r w:rsidRPr="00D57D3F">
        <w:t>kg.obyv.</w:t>
      </w:r>
      <w:r w:rsidRPr="00D57D3F">
        <w:rPr>
          <w:vertAlign w:val="superscript"/>
        </w:rPr>
        <w:t>-1</w:t>
      </w:r>
      <w:r w:rsidR="007660BE" w:rsidRPr="00D57D3F">
        <w:t>, v roce 201</w:t>
      </w:r>
      <w:r w:rsidR="009E7C0A" w:rsidRPr="00D57D3F">
        <w:t>9</w:t>
      </w:r>
      <w:r w:rsidR="007660BE" w:rsidRPr="00D57D3F">
        <w:t xml:space="preserve"> to bylo 3 </w:t>
      </w:r>
      <w:r w:rsidR="00AB2D2D" w:rsidRPr="00D57D3F">
        <w:t>502</w:t>
      </w:r>
      <w:r w:rsidR="007660BE" w:rsidRPr="00D57D3F">
        <w:t xml:space="preserve"> kg.obyv.</w:t>
      </w:r>
      <w:r w:rsidR="007660BE" w:rsidRPr="00D57D3F">
        <w:rPr>
          <w:vertAlign w:val="superscript"/>
        </w:rPr>
        <w:t>-1</w:t>
      </w:r>
      <w:r w:rsidRPr="00D57D3F">
        <w:t>.</w:t>
      </w:r>
      <w:r w:rsidR="00FE02A4" w:rsidRPr="00D57D3F">
        <w:t xml:space="preserve">   Meziročně vzrostla </w:t>
      </w:r>
      <w:r w:rsidR="001119E2" w:rsidRPr="00D57D3F">
        <w:t>o</w:t>
      </w:r>
      <w:r w:rsidR="00FE02A4" w:rsidRPr="00D57D3F">
        <w:t> </w:t>
      </w:r>
      <w:r w:rsidR="00AB2D2D" w:rsidRPr="00D57D3F">
        <w:t>96</w:t>
      </w:r>
      <w:r w:rsidR="00FE02A4" w:rsidRPr="00D57D3F">
        <w:t> kg.obyv.</w:t>
      </w:r>
      <w:r w:rsidR="00FE02A4" w:rsidRPr="00D57D3F">
        <w:rPr>
          <w:vertAlign w:val="superscript"/>
        </w:rPr>
        <w:t>-1</w:t>
      </w:r>
      <w:r w:rsidR="00FE02A4" w:rsidRPr="00D57D3F">
        <w:t xml:space="preserve">. </w:t>
      </w:r>
      <w:r w:rsidRPr="00D57D3F">
        <w:t xml:space="preserve">Hodnota celkové produkce odpadů je ovlivňována </w:t>
      </w:r>
      <w:r w:rsidR="00DA1459" w:rsidRPr="00D57D3F">
        <w:t xml:space="preserve">aktuálním stavem hospodářství a zejména </w:t>
      </w:r>
      <w:r w:rsidRPr="00D57D3F">
        <w:t xml:space="preserve">stavební činností, </w:t>
      </w:r>
      <w:r w:rsidR="00DA1459" w:rsidRPr="00D57D3F">
        <w:t xml:space="preserve">jelikož </w:t>
      </w:r>
      <w:r w:rsidR="00537AA4" w:rsidRPr="00D57D3F">
        <w:t xml:space="preserve">okolo </w:t>
      </w:r>
      <w:r w:rsidRPr="00D57D3F">
        <w:t xml:space="preserve">60 % vyprodukovaných odpadů pochází ze stavebnictví. </w:t>
      </w:r>
      <w:r w:rsidR="00003203" w:rsidRPr="00D57D3F">
        <w:t>V posledních dvou letech (</w:t>
      </w:r>
      <w:r w:rsidR="00193AA7" w:rsidRPr="00D57D3F">
        <w:t>2019–2020</w:t>
      </w:r>
      <w:r w:rsidR="00003203" w:rsidRPr="00D57D3F">
        <w:t xml:space="preserve">) Česká republika zažívala </w:t>
      </w:r>
      <w:proofErr w:type="spellStart"/>
      <w:r w:rsidR="009E7C0A" w:rsidRPr="00D57D3F">
        <w:t>koronavirovou</w:t>
      </w:r>
      <w:proofErr w:type="spellEnd"/>
      <w:r w:rsidR="009E7C0A" w:rsidRPr="00D57D3F">
        <w:t xml:space="preserve"> pandemii, která určitým způsobem také ovlivnila ekonomický růst. </w:t>
      </w:r>
    </w:p>
    <w:p w:rsidR="00B7598F" w:rsidRPr="00D57D3F" w:rsidRDefault="008C12E6" w:rsidP="00F12E8F">
      <w:pPr>
        <w:spacing w:after="120" w:line="276" w:lineRule="auto"/>
      </w:pPr>
      <w:r w:rsidRPr="00D57D3F">
        <w:t>Produkce ostatních odpadů v roce 20</w:t>
      </w:r>
      <w:r w:rsidR="00AB2D2D" w:rsidRPr="00D57D3F">
        <w:t>20</w:t>
      </w:r>
      <w:r w:rsidRPr="00D57D3F">
        <w:t xml:space="preserve"> byla 3</w:t>
      </w:r>
      <w:r w:rsidR="00AB2D2D" w:rsidRPr="00D57D3F">
        <w:t>6 721,8</w:t>
      </w:r>
      <w:r w:rsidRPr="00D57D3F">
        <w:t xml:space="preserve"> tis. t, </w:t>
      </w:r>
      <w:r w:rsidR="006B4577" w:rsidRPr="00D57D3F">
        <w:t xml:space="preserve">meziročně </w:t>
      </w:r>
      <w:r w:rsidRPr="00D57D3F">
        <w:t>201</w:t>
      </w:r>
      <w:r w:rsidR="00AB2D2D" w:rsidRPr="00D57D3F">
        <w:t>9</w:t>
      </w:r>
      <w:r w:rsidR="004D55C6" w:rsidRPr="00D57D3F">
        <w:t>-</w:t>
      </w:r>
      <w:r w:rsidRPr="00D57D3F">
        <w:t>20</w:t>
      </w:r>
      <w:r w:rsidR="00AB2D2D" w:rsidRPr="00D57D3F">
        <w:t>20</w:t>
      </w:r>
      <w:r w:rsidRPr="00D57D3F">
        <w:t xml:space="preserve"> </w:t>
      </w:r>
      <w:r w:rsidR="006B4577" w:rsidRPr="00D57D3F">
        <w:t xml:space="preserve">došlo ke </w:t>
      </w:r>
      <w:r w:rsidR="00B80504" w:rsidRPr="00D57D3F">
        <w:t xml:space="preserve">zvýšení </w:t>
      </w:r>
      <w:r w:rsidRPr="00D57D3F">
        <w:t>o</w:t>
      </w:r>
      <w:r w:rsidR="00514F4E" w:rsidRPr="00D57D3F">
        <w:t> </w:t>
      </w:r>
      <w:r w:rsidR="00AB2D2D" w:rsidRPr="00D57D3F">
        <w:t>3</w:t>
      </w:r>
      <w:r w:rsidRPr="00D57D3F">
        <w:t>,</w:t>
      </w:r>
      <w:r w:rsidR="00B80504" w:rsidRPr="00D57D3F">
        <w:t>1</w:t>
      </w:r>
      <w:r w:rsidR="00514F4E" w:rsidRPr="00D57D3F">
        <w:t> </w:t>
      </w:r>
      <w:r w:rsidRPr="00D57D3F">
        <w:t>%</w:t>
      </w:r>
      <w:r w:rsidR="00514F4E" w:rsidRPr="00D57D3F">
        <w:t xml:space="preserve">, tj. o </w:t>
      </w:r>
      <w:r w:rsidR="00AB2D2D" w:rsidRPr="00D57D3F">
        <w:t>1 118</w:t>
      </w:r>
      <w:r w:rsidR="00514F4E" w:rsidRPr="00D57D3F">
        <w:t xml:space="preserve"> </w:t>
      </w:r>
      <w:r w:rsidR="00F86851" w:rsidRPr="00D57D3F">
        <w:t xml:space="preserve">tis. </w:t>
      </w:r>
      <w:r w:rsidR="00514F4E" w:rsidRPr="00D57D3F">
        <w:t xml:space="preserve">t z </w:t>
      </w:r>
      <w:r w:rsidR="00AB2D2D" w:rsidRPr="00D57D3F">
        <w:t>35 603,8 </w:t>
      </w:r>
      <w:r w:rsidR="00514F4E" w:rsidRPr="00D57D3F">
        <w:t>tis. t v roce 201</w:t>
      </w:r>
      <w:r w:rsidR="00AB2D2D" w:rsidRPr="00D57D3F">
        <w:t>9</w:t>
      </w:r>
      <w:r w:rsidR="00514F4E" w:rsidRPr="00D57D3F">
        <w:t>.</w:t>
      </w:r>
      <w:r w:rsidRPr="00D57D3F">
        <w:t xml:space="preserve"> </w:t>
      </w:r>
      <w:r w:rsidRPr="00D57D3F">
        <w:rPr>
          <w:b/>
        </w:rPr>
        <w:t xml:space="preserve">Celková produkce ostatních odpadů na </w:t>
      </w:r>
      <w:r w:rsidRPr="00D57D3F">
        <w:rPr>
          <w:b/>
        </w:rPr>
        <w:t>obyvatele</w:t>
      </w:r>
      <w:r w:rsidRPr="00D57D3F">
        <w:t xml:space="preserve"> v roce 20</w:t>
      </w:r>
      <w:r w:rsidR="00AB2D2D" w:rsidRPr="00D57D3F">
        <w:t>20</w:t>
      </w:r>
      <w:r w:rsidRPr="00D57D3F">
        <w:t xml:space="preserve"> </w:t>
      </w:r>
      <w:r w:rsidR="00DA1459" w:rsidRPr="00D57D3F">
        <w:t xml:space="preserve">byla </w:t>
      </w:r>
      <w:r w:rsidR="00716DA5" w:rsidRPr="00D57D3F">
        <w:t>3 432</w:t>
      </w:r>
      <w:r w:rsidR="00537AA4" w:rsidRPr="00D57D3F">
        <w:t xml:space="preserve"> </w:t>
      </w:r>
      <w:r w:rsidRPr="00D57D3F">
        <w:t>kg.obyv.</w:t>
      </w:r>
      <w:r w:rsidRPr="00D57D3F">
        <w:rPr>
          <w:vertAlign w:val="superscript"/>
        </w:rPr>
        <w:t>-1</w:t>
      </w:r>
      <w:r w:rsidR="00DA1459" w:rsidRPr="00D57D3F">
        <w:t xml:space="preserve"> a v roce 201</w:t>
      </w:r>
      <w:r w:rsidR="00716DA5" w:rsidRPr="00D57D3F">
        <w:t>9</w:t>
      </w:r>
      <w:r w:rsidR="00DA1459" w:rsidRPr="00D57D3F">
        <w:t xml:space="preserve"> byla </w:t>
      </w:r>
      <w:r w:rsidR="00716DA5" w:rsidRPr="00D57D3F">
        <w:t>3 337</w:t>
      </w:r>
      <w:r w:rsidR="00DA1459" w:rsidRPr="00D57D3F">
        <w:t xml:space="preserve"> kg.obyv.</w:t>
      </w:r>
      <w:r w:rsidR="00DA1459" w:rsidRPr="00D57D3F">
        <w:rPr>
          <w:vertAlign w:val="superscript"/>
        </w:rPr>
        <w:t>-1</w:t>
      </w:r>
      <w:r w:rsidR="00DA1459" w:rsidRPr="00D57D3F">
        <w:t xml:space="preserve">. </w:t>
      </w:r>
      <w:r w:rsidRPr="00D57D3F">
        <w:t xml:space="preserve"> Meziročně 201</w:t>
      </w:r>
      <w:r w:rsidR="00716DA5" w:rsidRPr="00D57D3F">
        <w:t>9</w:t>
      </w:r>
      <w:r w:rsidR="00D11ED9" w:rsidRPr="00D57D3F">
        <w:t>-</w:t>
      </w:r>
      <w:r w:rsidRPr="00D57D3F">
        <w:t>20</w:t>
      </w:r>
      <w:r w:rsidR="00716DA5" w:rsidRPr="00D57D3F">
        <w:t>20</w:t>
      </w:r>
      <w:r w:rsidRPr="00D57D3F">
        <w:t xml:space="preserve"> došlo ke </w:t>
      </w:r>
      <w:r w:rsidR="005B48DC" w:rsidRPr="00D57D3F">
        <w:t>zvýšení</w:t>
      </w:r>
      <w:r w:rsidRPr="00D57D3F">
        <w:t>, a to o </w:t>
      </w:r>
      <w:r w:rsidR="00716DA5" w:rsidRPr="00D57D3F">
        <w:t>95</w:t>
      </w:r>
      <w:r w:rsidRPr="00D57D3F">
        <w:t> kg.obyv.</w:t>
      </w:r>
      <w:r w:rsidRPr="00D57D3F">
        <w:rPr>
          <w:vertAlign w:val="superscript"/>
        </w:rPr>
        <w:t>-1</w:t>
      </w:r>
      <w:r w:rsidR="00193AA7">
        <w:t xml:space="preserve"> </w:t>
      </w:r>
      <w:r w:rsidR="00D11ED9" w:rsidRPr="00D57D3F">
        <w:t>(Graf 1). Na celkové produkci odpadů se významnou měrou (95,</w:t>
      </w:r>
      <w:r w:rsidR="00716DA5" w:rsidRPr="00D57D3F">
        <w:t>4</w:t>
      </w:r>
      <w:r w:rsidR="00D11ED9" w:rsidRPr="00D57D3F">
        <w:t xml:space="preserve"> %</w:t>
      </w:r>
      <w:r w:rsidR="00716DA5" w:rsidRPr="00D57D3F">
        <w:t xml:space="preserve"> v roce 2020</w:t>
      </w:r>
      <w:r w:rsidR="00D11ED9" w:rsidRPr="00D57D3F">
        <w:t>) podílí</w:t>
      </w:r>
      <w:r w:rsidR="00D11ED9" w:rsidRPr="00D57D3F">
        <w:rPr>
          <w:b/>
        </w:rPr>
        <w:t xml:space="preserve"> produkce ostatních odpadů</w:t>
      </w:r>
      <w:r w:rsidR="00D11ED9" w:rsidRPr="00D57D3F">
        <w:t xml:space="preserve">, která je ovlivňována převážně produkcí stavebních a demoličních odpadů. </w:t>
      </w:r>
    </w:p>
    <w:p w:rsidR="00716DA5" w:rsidRPr="00D57D3F" w:rsidRDefault="008C12E6" w:rsidP="00F12E8F">
      <w:pPr>
        <w:spacing w:after="120" w:line="276" w:lineRule="auto"/>
      </w:pPr>
      <w:r w:rsidRPr="00D57D3F">
        <w:t>Střednědobě i krátkodobě má stejně jako celková produkce odpadů výrazně rostoucí trend.</w:t>
      </w:r>
    </w:p>
    <w:p w:rsidR="00B7598F" w:rsidRPr="00D57D3F" w:rsidRDefault="008C12E6" w:rsidP="00F12E8F">
      <w:pPr>
        <w:spacing w:after="120" w:line="276" w:lineRule="auto"/>
      </w:pPr>
      <w:r w:rsidRPr="00D57D3F">
        <w:rPr>
          <w:b/>
        </w:rPr>
        <w:t>Nebezpečné odpady</w:t>
      </w:r>
      <w:r w:rsidRPr="00D57D3F">
        <w:t xml:space="preserve"> představují jen 4,</w:t>
      </w:r>
      <w:r w:rsidR="003C0BCC" w:rsidRPr="00D57D3F">
        <w:t>6</w:t>
      </w:r>
      <w:r w:rsidRPr="00D57D3F">
        <w:t xml:space="preserve"> % celkové produkce všech odpadů</w:t>
      </w:r>
      <w:r w:rsidR="000045E1" w:rsidRPr="00D57D3F">
        <w:t xml:space="preserve">, vyznačují se nebezpečnými vlastnostmi. </w:t>
      </w:r>
      <w:r w:rsidR="00DA1459" w:rsidRPr="00D57D3F">
        <w:t>V posledních letech do</w:t>
      </w:r>
      <w:r w:rsidR="003C0BCC" w:rsidRPr="00D57D3F">
        <w:t xml:space="preserve">šlo k mírnému </w:t>
      </w:r>
      <w:r w:rsidR="00DA1459" w:rsidRPr="00D57D3F">
        <w:t xml:space="preserve">nárůstu </w:t>
      </w:r>
      <w:r w:rsidRPr="00D57D3F">
        <w:t>produkce nebezpečných odpadů</w:t>
      </w:r>
      <w:r w:rsidR="00814A2B" w:rsidRPr="00D57D3F">
        <w:t>, ovšem zatím nelze nalézt jednoznačný trend</w:t>
      </w:r>
      <w:r w:rsidR="001119E2" w:rsidRPr="00D57D3F">
        <w:t xml:space="preserve">. </w:t>
      </w:r>
      <w:r w:rsidR="00814A2B" w:rsidRPr="00D57D3F">
        <w:t xml:space="preserve">Produkce nebezpečných odpadů je výrazně ovlivněna sanacemi starých ekologických zátěží v jednotlivých letech. </w:t>
      </w:r>
      <w:r w:rsidR="00D003B3" w:rsidRPr="00D57D3F">
        <w:t>Produkce nebezpečných odpadů v roce 20</w:t>
      </w:r>
      <w:r w:rsidR="003C0BCC" w:rsidRPr="00D57D3F">
        <w:t>20</w:t>
      </w:r>
      <w:r w:rsidR="00D003B3" w:rsidRPr="00D57D3F">
        <w:t xml:space="preserve"> byla </w:t>
      </w:r>
      <w:r w:rsidR="00DA1459" w:rsidRPr="00D57D3F">
        <w:t>1</w:t>
      </w:r>
      <w:r w:rsidR="003C0BCC" w:rsidRPr="00D57D3F">
        <w:t> </w:t>
      </w:r>
      <w:r w:rsidR="00DA1459" w:rsidRPr="00D57D3F">
        <w:t>7</w:t>
      </w:r>
      <w:r w:rsidR="003C0BCC" w:rsidRPr="00D57D3F">
        <w:t>81,8</w:t>
      </w:r>
      <w:r w:rsidR="00D003B3" w:rsidRPr="00D57D3F">
        <w:t xml:space="preserve"> tis. t, </w:t>
      </w:r>
      <w:r w:rsidR="00DA1459" w:rsidRPr="00D57D3F">
        <w:t>v roce 201</w:t>
      </w:r>
      <w:r w:rsidR="003C0BCC" w:rsidRPr="00D57D3F">
        <w:t>9</w:t>
      </w:r>
      <w:r w:rsidR="00DA1459" w:rsidRPr="00D57D3F">
        <w:t xml:space="preserve"> byla 1</w:t>
      </w:r>
      <w:r w:rsidR="003C0BCC" w:rsidRPr="00D57D3F">
        <w:t xml:space="preserve"> 758,5 </w:t>
      </w:r>
      <w:r w:rsidR="00DA1459" w:rsidRPr="00D57D3F">
        <w:t>tis. t. M</w:t>
      </w:r>
      <w:r w:rsidR="00D003B3" w:rsidRPr="00D57D3F">
        <w:t>eziročně 201</w:t>
      </w:r>
      <w:r w:rsidR="003C0BCC" w:rsidRPr="00D57D3F">
        <w:t>9</w:t>
      </w:r>
      <w:r w:rsidR="00653714" w:rsidRPr="00D57D3F">
        <w:t>-</w:t>
      </w:r>
      <w:r w:rsidR="00D003B3" w:rsidRPr="00D57D3F">
        <w:t>20</w:t>
      </w:r>
      <w:r w:rsidR="003C0BCC" w:rsidRPr="00D57D3F">
        <w:t>20</w:t>
      </w:r>
      <w:r w:rsidR="00D003B3" w:rsidRPr="00D57D3F">
        <w:t xml:space="preserve"> došlo k</w:t>
      </w:r>
      <w:r w:rsidR="003C0BCC" w:rsidRPr="00D57D3F">
        <w:t xml:space="preserve"> nepatrnému zvýšení </w:t>
      </w:r>
      <w:r w:rsidR="00D003B3" w:rsidRPr="00D57D3F">
        <w:t xml:space="preserve">o </w:t>
      </w:r>
      <w:r w:rsidR="00A129E9" w:rsidRPr="00D57D3F">
        <w:t>1</w:t>
      </w:r>
      <w:r w:rsidR="003C0BCC" w:rsidRPr="00D57D3F">
        <w:t>,3</w:t>
      </w:r>
      <w:r w:rsidR="00D003B3" w:rsidRPr="00D57D3F">
        <w:t xml:space="preserve"> %</w:t>
      </w:r>
      <w:r w:rsidR="00F86851" w:rsidRPr="00D57D3F">
        <w:t xml:space="preserve"> tj. 23,3 tis.t</w:t>
      </w:r>
      <w:r w:rsidR="005F1FDA" w:rsidRPr="00D57D3F">
        <w:t>.</w:t>
      </w:r>
      <w:r w:rsidR="00D003B3" w:rsidRPr="00D57D3F">
        <w:t xml:space="preserve"> </w:t>
      </w:r>
      <w:r w:rsidRPr="00D57D3F">
        <w:rPr>
          <w:b/>
        </w:rPr>
        <w:t>Celková produkce nebezpečných odpadů na obyvatele</w:t>
      </w:r>
      <w:r w:rsidRPr="00D57D3F">
        <w:t xml:space="preserve"> v</w:t>
      </w:r>
      <w:r w:rsidR="00F31332" w:rsidRPr="00D57D3F">
        <w:t> </w:t>
      </w:r>
      <w:r w:rsidRPr="00D57D3F">
        <w:t>roce 20</w:t>
      </w:r>
      <w:r w:rsidR="003C0BCC" w:rsidRPr="00D57D3F">
        <w:t>20</w:t>
      </w:r>
      <w:r w:rsidRPr="00D57D3F">
        <w:t xml:space="preserve"> činila </w:t>
      </w:r>
      <w:r w:rsidR="00366C06" w:rsidRPr="00D57D3F">
        <w:t>166,</w:t>
      </w:r>
      <w:r w:rsidR="003C0BCC" w:rsidRPr="00D57D3F">
        <w:t>5</w:t>
      </w:r>
      <w:r w:rsidRPr="00D57D3F">
        <w:t xml:space="preserve"> kg</w:t>
      </w:r>
      <w:r w:rsidRPr="00D57D3F">
        <w:t>.obyv.</w:t>
      </w:r>
      <w:r w:rsidRPr="00D57D3F">
        <w:rPr>
          <w:vertAlign w:val="superscript"/>
        </w:rPr>
        <w:t>-1</w:t>
      </w:r>
      <w:r w:rsidRPr="00D57D3F">
        <w:t>,</w:t>
      </w:r>
      <w:r w:rsidR="00366C06" w:rsidRPr="00D57D3F">
        <w:t xml:space="preserve"> v roce 201</w:t>
      </w:r>
      <w:r w:rsidR="003C0BCC" w:rsidRPr="00D57D3F">
        <w:t>9</w:t>
      </w:r>
      <w:r w:rsidR="00366C06" w:rsidRPr="00D57D3F">
        <w:t xml:space="preserve"> byla 1</w:t>
      </w:r>
      <w:r w:rsidR="003C0BCC" w:rsidRPr="00D57D3F">
        <w:t>64</w:t>
      </w:r>
      <w:r w:rsidR="00366C06" w:rsidRPr="00D57D3F">
        <w:t>,</w:t>
      </w:r>
      <w:r w:rsidR="003C0BCC" w:rsidRPr="00D57D3F">
        <w:t>8</w:t>
      </w:r>
      <w:r w:rsidR="00366C06" w:rsidRPr="00D57D3F">
        <w:t xml:space="preserve"> kg.obyv.</w:t>
      </w:r>
      <w:r w:rsidR="00366C06" w:rsidRPr="00D57D3F">
        <w:rPr>
          <w:vertAlign w:val="superscript"/>
        </w:rPr>
        <w:t>-1</w:t>
      </w:r>
      <w:r w:rsidRPr="00D57D3F">
        <w:t>. Meziročně 201</w:t>
      </w:r>
      <w:r w:rsidR="003C0BCC" w:rsidRPr="00D57D3F">
        <w:t>9</w:t>
      </w:r>
      <w:r w:rsidR="004D55C6" w:rsidRPr="00D57D3F">
        <w:t>-</w:t>
      </w:r>
      <w:r w:rsidRPr="00D57D3F">
        <w:t>20</w:t>
      </w:r>
      <w:r w:rsidR="003C0BCC" w:rsidRPr="00D57D3F">
        <w:t>20</w:t>
      </w:r>
      <w:r w:rsidRPr="00D57D3F">
        <w:t xml:space="preserve"> se </w:t>
      </w:r>
      <w:r w:rsidR="00534B9D" w:rsidRPr="00D57D3F">
        <w:t xml:space="preserve">zvýšila </w:t>
      </w:r>
      <w:r w:rsidRPr="00D57D3F">
        <w:t xml:space="preserve">o </w:t>
      </w:r>
      <w:r w:rsidR="003C0BCC" w:rsidRPr="00D57D3F">
        <w:t>1,7 kg.obyv.</w:t>
      </w:r>
      <w:r w:rsidR="003C0BCC" w:rsidRPr="00D57D3F">
        <w:rPr>
          <w:vertAlign w:val="superscript"/>
        </w:rPr>
        <w:t>-1</w:t>
      </w:r>
      <w:r w:rsidR="008157AB" w:rsidRPr="00D57D3F">
        <w:t xml:space="preserve"> (Graf 1), </w:t>
      </w:r>
      <w:r w:rsidR="003C0BCC" w:rsidRPr="00D57D3F">
        <w:t>což je mnohem méně než v předchozím dvouletém období</w:t>
      </w:r>
      <w:r w:rsidR="001905EA" w:rsidRPr="00D57D3F">
        <w:t>,</w:t>
      </w:r>
      <w:r w:rsidR="003C0BCC" w:rsidRPr="00D57D3F">
        <w:t xml:space="preserve"> kdy nárůst byl o </w:t>
      </w:r>
      <w:r w:rsidR="00534B9D" w:rsidRPr="00D57D3F">
        <w:t>24</w:t>
      </w:r>
      <w:r w:rsidRPr="00D57D3F">
        <w:t> kg.obyv.</w:t>
      </w:r>
      <w:r w:rsidRPr="00D57D3F">
        <w:rPr>
          <w:vertAlign w:val="superscript"/>
        </w:rPr>
        <w:t>-1</w:t>
      </w:r>
      <w:r w:rsidR="00175471" w:rsidRPr="00D57D3F">
        <w:t>.</w:t>
      </w:r>
      <w:r w:rsidR="00814A2B" w:rsidRPr="00D57D3F">
        <w:t xml:space="preserve"> </w:t>
      </w:r>
    </w:p>
    <w:p w:rsidR="000144D8" w:rsidRPr="00D57D3F" w:rsidRDefault="008C12E6">
      <w:pPr>
        <w:spacing w:after="200" w:line="276" w:lineRule="auto"/>
        <w:jc w:val="left"/>
      </w:pPr>
      <w:r w:rsidRPr="00D57D3F">
        <w:br w:type="page"/>
      </w:r>
    </w:p>
    <w:p w:rsidR="00D429CC" w:rsidRPr="00CA47B1" w:rsidRDefault="008C12E6" w:rsidP="00D429CC">
      <w:pPr>
        <w:rPr>
          <w:b/>
        </w:rPr>
      </w:pPr>
      <w:r w:rsidRPr="00CA47B1">
        <w:rPr>
          <w:b/>
        </w:rPr>
        <w:lastRenderedPageBreak/>
        <w:t>Graf 1:</w:t>
      </w:r>
    </w:p>
    <w:p w:rsidR="00A03A21" w:rsidRPr="00A03A21" w:rsidRDefault="008C12E6" w:rsidP="00AD0EEA">
      <w:pPr>
        <w:spacing w:after="240"/>
        <w:rPr>
          <w:b/>
        </w:rPr>
      </w:pPr>
      <w:bookmarkStart w:id="7" w:name="_Hlk16681904"/>
      <w:r w:rsidRPr="00CA47B1">
        <w:rPr>
          <w:b/>
        </w:rPr>
        <w:t>Celková produkce</w:t>
      </w:r>
      <w:r w:rsidRPr="00D57D3F">
        <w:rPr>
          <w:b/>
        </w:rPr>
        <w:t xml:space="preserve"> odpadů, celková produkce ostatních a nebezpečných odpadů v ČR [tis. t], celková produkce odpadů na obyvatele, celková produkce ostatních a nebezpečných odpadů na obyvatele v ČR [kg.obyv.-1], </w:t>
      </w:r>
      <w:r w:rsidR="000B46D9" w:rsidRPr="00D57D3F">
        <w:rPr>
          <w:b/>
        </w:rPr>
        <w:t>2009</w:t>
      </w:r>
      <w:r w:rsidR="000B46D9">
        <w:rPr>
          <w:b/>
        </w:rPr>
        <w:t>–2020</w:t>
      </w:r>
    </w:p>
    <w:bookmarkEnd w:id="7"/>
    <w:p w:rsidR="00D429CC" w:rsidRDefault="008C12E6" w:rsidP="00D429CC">
      <w:pPr>
        <w:rPr>
          <w:noProof/>
          <w:lang w:eastAsia="cs-CZ"/>
        </w:rPr>
      </w:pPr>
      <w:r>
        <w:rPr>
          <w:noProof/>
        </w:rPr>
        <w:drawing>
          <wp:inline distT="0" distB="0" distL="0" distR="0">
            <wp:extent cx="5759450" cy="4842344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A21" w:rsidRPr="00D57D3F" w:rsidRDefault="008C12E6" w:rsidP="002335E8">
      <w:pPr>
        <w:pStyle w:val="Poznmka"/>
        <w:spacing w:before="240"/>
        <w:rPr>
          <w:sz w:val="18"/>
          <w:szCs w:val="18"/>
        </w:rPr>
      </w:pPr>
      <w:r w:rsidRPr="00D57D3F">
        <w:rPr>
          <w:sz w:val="18"/>
          <w:szCs w:val="18"/>
        </w:rPr>
        <w:t>Data byla stanovena podle metodiky Matematické vyjád</w:t>
      </w:r>
      <w:r w:rsidRPr="00D57D3F">
        <w:rPr>
          <w:sz w:val="18"/>
          <w:szCs w:val="18"/>
        </w:rPr>
        <w:t xml:space="preserve">ření výpočtu „soustavy indikátorů OH“ platné pro daný rok. </w:t>
      </w:r>
    </w:p>
    <w:p w:rsidR="00A03A21" w:rsidRDefault="008C12E6" w:rsidP="00A03A21">
      <w:pPr>
        <w:rPr>
          <w:i/>
          <w:sz w:val="18"/>
          <w:szCs w:val="18"/>
        </w:rPr>
      </w:pPr>
      <w:r w:rsidRPr="00D57D3F">
        <w:rPr>
          <w:i/>
          <w:sz w:val="18"/>
          <w:szCs w:val="18"/>
        </w:rPr>
        <w:t>Zdroj: ISOH MŽP, CENIA, (ČSÚ – počet obyvatel ČR)</w:t>
      </w:r>
      <w:r w:rsidR="008066A3" w:rsidRPr="00D57D3F">
        <w:rPr>
          <w:i/>
          <w:sz w:val="18"/>
          <w:szCs w:val="18"/>
        </w:rPr>
        <w:t>, Zpráva o životním prostředí 2020</w:t>
      </w:r>
    </w:p>
    <w:p w:rsidR="00FB1ED7" w:rsidRDefault="008C12E6">
      <w:pPr>
        <w:spacing w:after="200" w:line="276" w:lineRule="auto"/>
        <w:jc w:val="left"/>
        <w:rPr>
          <w:rFonts w:eastAsia="Graphik LG Regular" w:cs="Graphik LG Regular"/>
          <w:sz w:val="22"/>
        </w:rPr>
      </w:pPr>
      <w:r>
        <w:rPr>
          <w:i/>
        </w:rPr>
        <w:br w:type="page"/>
      </w:r>
    </w:p>
    <w:p w:rsidR="00D429CC" w:rsidRPr="00CA47B1" w:rsidRDefault="008C12E6" w:rsidP="00D429CC">
      <w:pPr>
        <w:rPr>
          <w:b/>
        </w:rPr>
      </w:pPr>
      <w:bookmarkStart w:id="8" w:name="_Hlk101799684"/>
      <w:r w:rsidRPr="00CA47B1">
        <w:rPr>
          <w:b/>
        </w:rPr>
        <w:lastRenderedPageBreak/>
        <w:t>Obr. 1</w:t>
      </w:r>
    </w:p>
    <w:p w:rsidR="00FB1ED7" w:rsidRPr="00FB1ED7" w:rsidRDefault="008C12E6" w:rsidP="00FB1ED7">
      <w:pPr>
        <w:rPr>
          <w:b/>
        </w:rPr>
      </w:pPr>
      <w:r w:rsidRPr="00CA47B1">
        <w:rPr>
          <w:b/>
        </w:rPr>
        <w:t>Celková produkce</w:t>
      </w:r>
      <w:r w:rsidRPr="00D57D3F">
        <w:rPr>
          <w:b/>
        </w:rPr>
        <w:t xml:space="preserve"> odpadů, celková produkce ostatních a nebezpečných odpadů v krajích ČR [tis. t], celková produkce odpadů na obyvatele v krajích ČR [kg.obyv.</w:t>
      </w:r>
      <w:r w:rsidRPr="00D57D3F">
        <w:rPr>
          <w:b/>
          <w:vertAlign w:val="superscript"/>
        </w:rPr>
        <w:t>-1</w:t>
      </w:r>
      <w:r w:rsidRPr="00D57D3F">
        <w:rPr>
          <w:b/>
        </w:rPr>
        <w:t>], 20</w:t>
      </w:r>
      <w:r w:rsidR="0026410F" w:rsidRPr="00D57D3F">
        <w:rPr>
          <w:b/>
        </w:rPr>
        <w:t>20</w:t>
      </w:r>
    </w:p>
    <w:bookmarkEnd w:id="8"/>
    <w:p w:rsidR="00D429CC" w:rsidRPr="00B400B4" w:rsidRDefault="008C12E6" w:rsidP="00D429CC">
      <w:r w:rsidRPr="00B400B4">
        <w:t xml:space="preserve"> </w:t>
      </w:r>
      <w:r w:rsidR="009C0480">
        <w:rPr>
          <w:noProof/>
          <w:lang w:eastAsia="cs-CZ"/>
        </w:rPr>
        <w:drawing>
          <wp:inline distT="0" distB="0" distL="0" distR="0">
            <wp:extent cx="6275442" cy="2607733"/>
            <wp:effectExtent l="0" t="0" r="0" b="2540"/>
            <wp:docPr id="9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CDD1EA3C-5D77-4C29-ABB5-5B2C6E299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69645" name="Obrázek 2">
                      <a:extLst>
                        <a:ext uri="{FF2B5EF4-FFF2-40B4-BE49-F238E27FC236}">
                          <a16:creationId xmlns:a16="http://schemas.microsoft.com/office/drawing/2014/main" id="{CDD1EA3C-5D77-4C29-ABB5-5B2C6E2994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2264" cy="261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F" w:rsidRDefault="0026410F" w:rsidP="005E0AE2">
      <w:pPr>
        <w:rPr>
          <w:i/>
          <w:sz w:val="18"/>
          <w:szCs w:val="18"/>
        </w:rPr>
      </w:pPr>
    </w:p>
    <w:p w:rsidR="005E0AE2" w:rsidRPr="00D57D3F" w:rsidRDefault="008C12E6" w:rsidP="005E0AE2">
      <w:pPr>
        <w:rPr>
          <w:i/>
          <w:sz w:val="18"/>
          <w:szCs w:val="18"/>
        </w:rPr>
      </w:pPr>
      <w:r w:rsidRPr="00D57D3F">
        <w:rPr>
          <w:i/>
          <w:sz w:val="18"/>
          <w:szCs w:val="18"/>
        </w:rPr>
        <w:t>Data byla stanovena podle metodiky Matematické vyjádření výpočtu „</w:t>
      </w:r>
      <w:r w:rsidR="00E02906" w:rsidRPr="00D57D3F">
        <w:rPr>
          <w:i/>
          <w:sz w:val="18"/>
          <w:szCs w:val="18"/>
        </w:rPr>
        <w:t>S</w:t>
      </w:r>
      <w:r w:rsidRPr="00D57D3F">
        <w:rPr>
          <w:i/>
          <w:sz w:val="18"/>
          <w:szCs w:val="18"/>
        </w:rPr>
        <w:t>oustavy indikátorů OH“ platné pro d</w:t>
      </w:r>
      <w:r w:rsidRPr="00D57D3F">
        <w:rPr>
          <w:i/>
          <w:sz w:val="18"/>
          <w:szCs w:val="18"/>
        </w:rPr>
        <w:t xml:space="preserve">aný rok. </w:t>
      </w:r>
    </w:p>
    <w:p w:rsidR="005E0AE2" w:rsidRPr="00D57D3F" w:rsidRDefault="008C12E6" w:rsidP="005E0AE2">
      <w:pPr>
        <w:rPr>
          <w:i/>
          <w:sz w:val="18"/>
          <w:szCs w:val="18"/>
        </w:rPr>
      </w:pPr>
      <w:r w:rsidRPr="00D57D3F">
        <w:rPr>
          <w:i/>
          <w:sz w:val="18"/>
          <w:szCs w:val="18"/>
        </w:rPr>
        <w:t xml:space="preserve">Zdroj: </w:t>
      </w:r>
      <w:r w:rsidR="000045E1" w:rsidRPr="00D57D3F">
        <w:rPr>
          <w:i/>
          <w:sz w:val="18"/>
          <w:szCs w:val="18"/>
        </w:rPr>
        <w:t xml:space="preserve">ISOH </w:t>
      </w:r>
      <w:r w:rsidRPr="00D57D3F">
        <w:rPr>
          <w:i/>
          <w:sz w:val="18"/>
          <w:szCs w:val="18"/>
        </w:rPr>
        <w:t>MŽP</w:t>
      </w:r>
      <w:r w:rsidR="000045E1" w:rsidRPr="00D57D3F">
        <w:rPr>
          <w:i/>
          <w:sz w:val="18"/>
          <w:szCs w:val="18"/>
        </w:rPr>
        <w:t xml:space="preserve">, </w:t>
      </w:r>
      <w:r w:rsidRPr="00D57D3F">
        <w:rPr>
          <w:i/>
          <w:sz w:val="18"/>
          <w:szCs w:val="18"/>
        </w:rPr>
        <w:t xml:space="preserve">CENIA, </w:t>
      </w:r>
      <w:r w:rsidR="00CA3FD7" w:rsidRPr="00D57D3F">
        <w:rPr>
          <w:i/>
          <w:sz w:val="18"/>
          <w:szCs w:val="18"/>
        </w:rPr>
        <w:t>(ČSÚ – počet obyvatel ČR)</w:t>
      </w:r>
      <w:r w:rsidR="009C0480" w:rsidRPr="00D57D3F">
        <w:rPr>
          <w:i/>
          <w:sz w:val="18"/>
          <w:szCs w:val="18"/>
        </w:rPr>
        <w:t>, Statistická ročenka 2020</w:t>
      </w:r>
    </w:p>
    <w:p w:rsidR="00FB1ED7" w:rsidRPr="00D57D3F" w:rsidRDefault="00FB1ED7" w:rsidP="005E0AE2">
      <w:pPr>
        <w:rPr>
          <w:szCs w:val="24"/>
        </w:rPr>
      </w:pPr>
    </w:p>
    <w:p w:rsidR="00FB1ED7" w:rsidRPr="00D57D3F" w:rsidRDefault="00FB1ED7" w:rsidP="005E0AE2">
      <w:pPr>
        <w:rPr>
          <w:szCs w:val="24"/>
        </w:rPr>
      </w:pPr>
    </w:p>
    <w:p w:rsidR="00FB1ED7" w:rsidRPr="00CA47B1" w:rsidRDefault="008C12E6" w:rsidP="00FB1ED7">
      <w:pPr>
        <w:pStyle w:val="Grafickprvek"/>
        <w:spacing w:before="0"/>
        <w:rPr>
          <w:color w:val="000000" w:themeColor="text1"/>
          <w:sz w:val="24"/>
          <w:szCs w:val="24"/>
        </w:rPr>
      </w:pPr>
      <w:r w:rsidRPr="00CA47B1">
        <w:rPr>
          <w:color w:val="000000" w:themeColor="text1"/>
          <w:sz w:val="24"/>
          <w:szCs w:val="24"/>
        </w:rPr>
        <w:t xml:space="preserve">Tabulka </w:t>
      </w:r>
      <w:r w:rsidR="004C31B4" w:rsidRPr="00CA47B1">
        <w:rPr>
          <w:color w:val="000000" w:themeColor="text1"/>
          <w:sz w:val="24"/>
          <w:szCs w:val="24"/>
        </w:rPr>
        <w:t>1</w:t>
      </w:r>
      <w:r w:rsidRPr="00CA47B1">
        <w:rPr>
          <w:color w:val="000000" w:themeColor="text1"/>
          <w:sz w:val="24"/>
          <w:szCs w:val="24"/>
        </w:rPr>
        <w:t>:</w:t>
      </w:r>
    </w:p>
    <w:p w:rsidR="00FB1ED7" w:rsidRPr="00BB7758" w:rsidRDefault="008C12E6" w:rsidP="00FB1ED7">
      <w:pPr>
        <w:pStyle w:val="Grafickprvek"/>
        <w:spacing w:before="0"/>
        <w:rPr>
          <w:color w:val="000000" w:themeColor="text1"/>
          <w:sz w:val="24"/>
          <w:szCs w:val="24"/>
        </w:rPr>
      </w:pPr>
      <w:r w:rsidRPr="00CA47B1">
        <w:rPr>
          <w:color w:val="000000" w:themeColor="text1"/>
          <w:sz w:val="24"/>
          <w:szCs w:val="24"/>
        </w:rPr>
        <w:t>Produkce odpadů</w:t>
      </w:r>
      <w:r w:rsidRPr="00D57D3F">
        <w:rPr>
          <w:color w:val="000000" w:themeColor="text1"/>
          <w:sz w:val="24"/>
          <w:szCs w:val="24"/>
        </w:rPr>
        <w:t xml:space="preserve"> podle skupin odpadů </w:t>
      </w:r>
      <w:r w:rsidR="00FC1B14" w:rsidRPr="00D57D3F">
        <w:rPr>
          <w:color w:val="000000" w:themeColor="text1"/>
          <w:sz w:val="24"/>
          <w:szCs w:val="24"/>
        </w:rPr>
        <w:t xml:space="preserve">z </w:t>
      </w:r>
      <w:r w:rsidRPr="00D57D3F">
        <w:rPr>
          <w:color w:val="000000" w:themeColor="text1"/>
          <w:sz w:val="24"/>
          <w:szCs w:val="24"/>
        </w:rPr>
        <w:t xml:space="preserve">Katalogu odpadů v letech </w:t>
      </w:r>
      <w:r w:rsidR="000B46D9" w:rsidRPr="00D57D3F">
        <w:rPr>
          <w:color w:val="000000" w:themeColor="text1"/>
          <w:sz w:val="24"/>
          <w:szCs w:val="24"/>
        </w:rPr>
        <w:t>2019</w:t>
      </w:r>
      <w:r w:rsidR="000B46D9">
        <w:rPr>
          <w:color w:val="000000" w:themeColor="text1"/>
          <w:sz w:val="24"/>
          <w:szCs w:val="24"/>
        </w:rPr>
        <w:t>–2020</w:t>
      </w:r>
      <w:r w:rsidRPr="00D57D3F">
        <w:rPr>
          <w:color w:val="000000" w:themeColor="text1"/>
          <w:sz w:val="24"/>
          <w:szCs w:val="24"/>
        </w:rPr>
        <w:t xml:space="preserve"> v ČR [t]</w:t>
      </w:r>
    </w:p>
    <w:p w:rsidR="00FB1ED7" w:rsidRPr="00FB1ED7" w:rsidRDefault="00FB1ED7" w:rsidP="00FB1ED7">
      <w:pPr>
        <w:rPr>
          <w:szCs w:val="24"/>
        </w:rPr>
      </w:pP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1276"/>
        <w:gridCol w:w="1418"/>
        <w:gridCol w:w="1417"/>
      </w:tblGrid>
      <w:tr w:rsidR="007E5173" w:rsidTr="00EF3CB4">
        <w:trPr>
          <w:trHeight w:val="300"/>
        </w:trPr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Skupina odpadů</w:t>
            </w:r>
          </w:p>
        </w:tc>
        <w:tc>
          <w:tcPr>
            <w:tcW w:w="2579" w:type="dxa"/>
            <w:gridSpan w:val="2"/>
            <w:shd w:val="clear" w:color="000000" w:fill="D9D9D9"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2835" w:type="dxa"/>
            <w:gridSpan w:val="2"/>
            <w:shd w:val="clear" w:color="000000" w:fill="D9D9D9"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sz w:val="18"/>
                <w:szCs w:val="18"/>
                <w:lang w:eastAsia="cs-CZ"/>
              </w:rPr>
              <w:t>2020</w:t>
            </w:r>
          </w:p>
        </w:tc>
      </w:tr>
      <w:tr w:rsidR="007E5173" w:rsidTr="00EF3CB4">
        <w:trPr>
          <w:trHeight w:val="498"/>
        </w:trPr>
        <w:tc>
          <w:tcPr>
            <w:tcW w:w="960" w:type="dxa"/>
            <w:vMerge/>
            <w:shd w:val="clear" w:color="000000" w:fill="D9D9D9"/>
            <w:vAlign w:val="center"/>
            <w:hideMark/>
          </w:tcPr>
          <w:p w:rsidR="00EF3CB4" w:rsidRPr="00014947" w:rsidRDefault="00EF3CB4" w:rsidP="004C31B4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shd w:val="clear" w:color="000000" w:fill="D9D9D9"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 toho nebezpečné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z toho </w:t>
            </w: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nebezpečné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vMerge/>
            <w:shd w:val="clear" w:color="000000" w:fill="D9D9D9"/>
            <w:noWrap/>
            <w:vAlign w:val="center"/>
          </w:tcPr>
          <w:p w:rsidR="00EF3CB4" w:rsidRPr="00EF3CB4" w:rsidRDefault="00EF3CB4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EF3CB4" w:rsidRPr="00EF3CB4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EF3CB4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tun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64 768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1 727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66 228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281 106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1 294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254 618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921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185 188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253 904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241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81 822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70 369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361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19 170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19 103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38 620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38 488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16 734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11 442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16 164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10 057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149 998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37 280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140 794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39 856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54 203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43 734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49 754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39 132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1 367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1 139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1 439 436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126 568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1 163 788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139 562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95 549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90 695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83 541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79 729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721 118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95 064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607 333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77 784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167 822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167 781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147 105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147 099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4 320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4 320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3 297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3 297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1 223 670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57 599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1 152 573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51 313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>16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691 703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269 326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645 </w:t>
            </w: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256 047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23 534 431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545 680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25 050 135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597 532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45 312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36 393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46 461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37 912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2 820 882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207 011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2 946 805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217 043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5 763 843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41 651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5 765 570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43 799</w:t>
            </w:r>
          </w:p>
        </w:tc>
      </w:tr>
      <w:tr w:rsidR="007E5173" w:rsidTr="00EF3CB4">
        <w:trPr>
          <w:trHeight w:val="300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EF3CB4" w:rsidRPr="00014947" w:rsidRDefault="008C12E6" w:rsidP="004C31B4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37 362 257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1 758 505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38 503 658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CB4" w:rsidRPr="00014947" w:rsidRDefault="008C12E6" w:rsidP="004C31B4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494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1 781 816</w:t>
            </w:r>
          </w:p>
        </w:tc>
      </w:tr>
    </w:tbl>
    <w:p w:rsidR="00EF3CB4" w:rsidRPr="00D57D3F" w:rsidRDefault="008C12E6" w:rsidP="00EF3CB4">
      <w:pPr>
        <w:spacing w:before="120"/>
        <w:rPr>
          <w:i/>
          <w:sz w:val="18"/>
          <w:szCs w:val="18"/>
        </w:rPr>
      </w:pPr>
      <w:r w:rsidRPr="00D57D3F">
        <w:rPr>
          <w:i/>
          <w:sz w:val="18"/>
          <w:szCs w:val="18"/>
        </w:rPr>
        <w:t xml:space="preserve">Data byla stanovena podle metodiky </w:t>
      </w:r>
      <w:r w:rsidRPr="00D57D3F">
        <w:rPr>
          <w:i/>
          <w:sz w:val="18"/>
          <w:szCs w:val="18"/>
        </w:rPr>
        <w:t>Matematické vyjádření výpočtu „soustavy indikátorů OH“ platné pro daný rok.</w:t>
      </w:r>
    </w:p>
    <w:p w:rsidR="00795F66" w:rsidRPr="00D57D3F" w:rsidRDefault="008C12E6" w:rsidP="00EF3CB4">
      <w:pPr>
        <w:rPr>
          <w:i/>
          <w:sz w:val="18"/>
          <w:szCs w:val="18"/>
        </w:rPr>
      </w:pPr>
      <w:r w:rsidRPr="00D57D3F">
        <w:rPr>
          <w:i/>
          <w:sz w:val="18"/>
          <w:szCs w:val="18"/>
        </w:rPr>
        <w:t xml:space="preserve">Zdroj: </w:t>
      </w:r>
      <w:r w:rsidR="002E4F4A" w:rsidRPr="00D57D3F">
        <w:rPr>
          <w:i/>
          <w:sz w:val="18"/>
          <w:szCs w:val="18"/>
        </w:rPr>
        <w:t xml:space="preserve">ISOH, </w:t>
      </w:r>
      <w:r w:rsidRPr="00D57D3F">
        <w:rPr>
          <w:i/>
          <w:sz w:val="18"/>
          <w:szCs w:val="18"/>
        </w:rPr>
        <w:t>MŽP</w:t>
      </w:r>
      <w:r w:rsidR="002E4F4A" w:rsidRPr="00D57D3F">
        <w:rPr>
          <w:i/>
          <w:sz w:val="18"/>
          <w:szCs w:val="18"/>
        </w:rPr>
        <w:t>,</w:t>
      </w:r>
      <w:r w:rsidRPr="00D57D3F">
        <w:rPr>
          <w:i/>
          <w:sz w:val="18"/>
          <w:szCs w:val="18"/>
        </w:rPr>
        <w:t xml:space="preserve"> zpracovatelem dat je CENIA, Statistická ročenka</w:t>
      </w:r>
    </w:p>
    <w:p w:rsidR="00FC1B14" w:rsidRPr="00D57D3F" w:rsidRDefault="00FC1B14">
      <w:pPr>
        <w:spacing w:after="200" w:line="276" w:lineRule="auto"/>
        <w:jc w:val="left"/>
        <w:rPr>
          <w:b/>
          <w:sz w:val="26"/>
          <w:szCs w:val="26"/>
          <w:u w:val="single"/>
        </w:rPr>
      </w:pPr>
    </w:p>
    <w:p w:rsidR="0098165E" w:rsidRPr="00D57D3F" w:rsidRDefault="008C12E6" w:rsidP="000045E1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>N</w:t>
      </w:r>
      <w:bookmarkStart w:id="9" w:name="_Toc480796797"/>
      <w:bookmarkStart w:id="10" w:name="_Toc488816295"/>
      <w:bookmarkStart w:id="11" w:name="_Ref488825410"/>
      <w:bookmarkStart w:id="12" w:name="_Ref488825456"/>
      <w:bookmarkStart w:id="13" w:name="_Toc490815292"/>
      <w:r w:rsidRPr="00D57D3F">
        <w:rPr>
          <w:b/>
          <w:sz w:val="26"/>
          <w:szCs w:val="26"/>
          <w:u w:val="single"/>
        </w:rPr>
        <w:t>akládání s odpady</w:t>
      </w:r>
      <w:bookmarkEnd w:id="9"/>
      <w:bookmarkEnd w:id="10"/>
      <w:bookmarkEnd w:id="11"/>
      <w:bookmarkEnd w:id="12"/>
      <w:bookmarkEnd w:id="13"/>
    </w:p>
    <w:p w:rsidR="00BA485E" w:rsidRPr="00D57D3F" w:rsidRDefault="008C12E6" w:rsidP="00BA485E">
      <w:pPr>
        <w:spacing w:after="120" w:line="276" w:lineRule="auto"/>
      </w:pPr>
      <w:r w:rsidRPr="00D57D3F">
        <w:rPr>
          <w:b/>
        </w:rPr>
        <w:t>V roce 20</w:t>
      </w:r>
      <w:r w:rsidR="004B71BE" w:rsidRPr="00D57D3F">
        <w:rPr>
          <w:b/>
        </w:rPr>
        <w:t>20</w:t>
      </w:r>
      <w:r w:rsidRPr="00D57D3F">
        <w:rPr>
          <w:b/>
        </w:rPr>
        <w:t xml:space="preserve"> podíl využití odpadů na celkové produkci odpadů činil 8</w:t>
      </w:r>
      <w:r w:rsidR="004B71BE" w:rsidRPr="00D57D3F">
        <w:rPr>
          <w:b/>
        </w:rPr>
        <w:t>9</w:t>
      </w:r>
      <w:r w:rsidRPr="00D57D3F">
        <w:rPr>
          <w:b/>
        </w:rPr>
        <w:t>,</w:t>
      </w:r>
      <w:r w:rsidR="004B71BE" w:rsidRPr="00D57D3F">
        <w:rPr>
          <w:b/>
        </w:rPr>
        <w:t>8</w:t>
      </w:r>
      <w:r w:rsidRPr="00D57D3F">
        <w:rPr>
          <w:b/>
        </w:rPr>
        <w:t xml:space="preserve"> %</w:t>
      </w:r>
      <w:r w:rsidR="000045E1" w:rsidRPr="00D57D3F">
        <w:rPr>
          <w:b/>
        </w:rPr>
        <w:t>, v roce 201</w:t>
      </w:r>
      <w:r w:rsidR="004B71BE" w:rsidRPr="00D57D3F">
        <w:rPr>
          <w:b/>
        </w:rPr>
        <w:t>9</w:t>
      </w:r>
      <w:r w:rsidR="000045E1" w:rsidRPr="00D57D3F">
        <w:rPr>
          <w:b/>
        </w:rPr>
        <w:t xml:space="preserve"> to bylo </w:t>
      </w:r>
      <w:r w:rsidR="0067412D" w:rsidRPr="00D57D3F">
        <w:rPr>
          <w:b/>
        </w:rPr>
        <w:t>8</w:t>
      </w:r>
      <w:r w:rsidR="004B71BE" w:rsidRPr="00D57D3F">
        <w:rPr>
          <w:b/>
        </w:rPr>
        <w:t>8</w:t>
      </w:r>
      <w:r w:rsidR="0067412D" w:rsidRPr="00D57D3F">
        <w:rPr>
          <w:b/>
        </w:rPr>
        <w:t>,</w:t>
      </w:r>
      <w:r w:rsidR="004B71BE" w:rsidRPr="00D57D3F">
        <w:rPr>
          <w:b/>
        </w:rPr>
        <w:t>2</w:t>
      </w:r>
      <w:r w:rsidR="0067412D" w:rsidRPr="00D57D3F">
        <w:rPr>
          <w:b/>
        </w:rPr>
        <w:t xml:space="preserve"> %</w:t>
      </w:r>
      <w:r w:rsidR="003F57A2" w:rsidRPr="00D57D3F">
        <w:rPr>
          <w:b/>
        </w:rPr>
        <w:t xml:space="preserve">, </w:t>
      </w:r>
      <w:r w:rsidR="003F57A2" w:rsidRPr="00D57D3F">
        <w:rPr>
          <w:b/>
          <w:szCs w:val="24"/>
        </w:rPr>
        <w:t xml:space="preserve">meziročně se tedy mírně </w:t>
      </w:r>
      <w:r w:rsidR="005B2FA0" w:rsidRPr="00D57D3F">
        <w:rPr>
          <w:b/>
          <w:szCs w:val="24"/>
        </w:rPr>
        <w:t>zvýšil</w:t>
      </w:r>
      <w:r w:rsidR="0019353E" w:rsidRPr="00D57D3F">
        <w:rPr>
          <w:b/>
          <w:szCs w:val="24"/>
        </w:rPr>
        <w:t xml:space="preserve"> o </w:t>
      </w:r>
      <w:r w:rsidR="004B71BE" w:rsidRPr="00D57D3F">
        <w:rPr>
          <w:b/>
          <w:szCs w:val="24"/>
        </w:rPr>
        <w:t>1</w:t>
      </w:r>
      <w:r w:rsidR="0019353E" w:rsidRPr="00D57D3F">
        <w:rPr>
          <w:b/>
          <w:szCs w:val="24"/>
        </w:rPr>
        <w:t>,</w:t>
      </w:r>
      <w:r w:rsidR="004B71BE" w:rsidRPr="00D57D3F">
        <w:rPr>
          <w:b/>
          <w:szCs w:val="24"/>
        </w:rPr>
        <w:t>6</w:t>
      </w:r>
      <w:r w:rsidR="0019353E" w:rsidRPr="00D57D3F">
        <w:rPr>
          <w:b/>
          <w:szCs w:val="24"/>
        </w:rPr>
        <w:t xml:space="preserve"> %</w:t>
      </w:r>
      <w:r w:rsidR="003F57A2" w:rsidRPr="00D57D3F">
        <w:rPr>
          <w:szCs w:val="24"/>
        </w:rPr>
        <w:t xml:space="preserve">. </w:t>
      </w:r>
      <w:r w:rsidR="005B2FA0" w:rsidRPr="00D57D3F">
        <w:t xml:space="preserve">Pokračuje pozitivní trend </w:t>
      </w:r>
      <w:r w:rsidRPr="00D57D3F">
        <w:t xml:space="preserve">postupného zvyšování podílu využitých odpadů na úkor odpadů odstraněných. </w:t>
      </w:r>
      <w:r w:rsidR="00F06B33" w:rsidRPr="00D57D3F">
        <w:t xml:space="preserve">Dominuje využití odpadů, především materiálové, jehož podíl střednědobě i krátkodobě roste. </w:t>
      </w:r>
      <w:r w:rsidR="0019353E" w:rsidRPr="00D57D3F">
        <w:t>Množství využitých odpadů bylo 3</w:t>
      </w:r>
      <w:r w:rsidR="004B71BE" w:rsidRPr="00D57D3F">
        <w:t>4</w:t>
      </w:r>
      <w:r w:rsidR="00E11F4B" w:rsidRPr="00D57D3F">
        <w:t xml:space="preserve"> </w:t>
      </w:r>
      <w:r w:rsidR="004B71BE" w:rsidRPr="00D57D3F">
        <w:t>556</w:t>
      </w:r>
      <w:r w:rsidR="0019353E" w:rsidRPr="00D57D3F">
        <w:t>,</w:t>
      </w:r>
      <w:r w:rsidR="004B71BE" w:rsidRPr="00D57D3F">
        <w:t>7</w:t>
      </w:r>
      <w:r w:rsidR="0019353E" w:rsidRPr="00D57D3F">
        <w:t xml:space="preserve"> tis. t v roce 20</w:t>
      </w:r>
      <w:r w:rsidR="004B71BE" w:rsidRPr="00D57D3F">
        <w:t>20</w:t>
      </w:r>
      <w:r w:rsidR="0019353E" w:rsidRPr="00D57D3F">
        <w:t xml:space="preserve">. </w:t>
      </w:r>
      <w:r w:rsidRPr="00D57D3F">
        <w:t xml:space="preserve">Důvodem </w:t>
      </w:r>
      <w:r w:rsidR="00A96BE4" w:rsidRPr="00D57D3F">
        <w:t xml:space="preserve">byly </w:t>
      </w:r>
      <w:r w:rsidRPr="00D57D3F">
        <w:t>především změny v</w:t>
      </w:r>
      <w:r w:rsidR="00C91B75" w:rsidRPr="00D57D3F">
        <w:t> </w:t>
      </w:r>
      <w:r w:rsidRPr="00D57D3F">
        <w:t xml:space="preserve">technologiích zpracování odpadů a </w:t>
      </w:r>
      <w:r w:rsidR="00261B1F" w:rsidRPr="00D57D3F">
        <w:t xml:space="preserve">větší používání odpadů k </w:t>
      </w:r>
      <w:r w:rsidRPr="00D57D3F">
        <w:t>náhrad</w:t>
      </w:r>
      <w:r w:rsidR="00261B1F" w:rsidRPr="00D57D3F">
        <w:t>ě</w:t>
      </w:r>
      <w:r w:rsidRPr="00D57D3F">
        <w:t xml:space="preserve"> primárních surovin</w:t>
      </w:r>
      <w:r w:rsidR="00261B1F" w:rsidRPr="00D57D3F">
        <w:t xml:space="preserve">. </w:t>
      </w:r>
      <w:r w:rsidRPr="00D57D3F">
        <w:t xml:space="preserve"> </w:t>
      </w:r>
      <w:r w:rsidR="00E1680F" w:rsidRPr="00D57D3F">
        <w:t>Přispívá k tomu také finanční podpora zařízení pro využití odpadů z Operačního programu Životní prostředí (</w:t>
      </w:r>
      <w:r w:rsidR="004324EC" w:rsidRPr="00D57D3F">
        <w:rPr>
          <w:bCs/>
        </w:rPr>
        <w:t>dále jen „OPŽP“)</w:t>
      </w:r>
      <w:r w:rsidR="00E1680F" w:rsidRPr="00D57D3F">
        <w:t xml:space="preserve">. </w:t>
      </w:r>
      <w:r w:rsidRPr="00D57D3F">
        <w:rPr>
          <w:b/>
        </w:rPr>
        <w:t>Mezi roky 201</w:t>
      </w:r>
      <w:r w:rsidR="004B71BE" w:rsidRPr="00D57D3F">
        <w:rPr>
          <w:b/>
        </w:rPr>
        <w:t>9</w:t>
      </w:r>
      <w:r w:rsidRPr="00D57D3F">
        <w:rPr>
          <w:b/>
        </w:rPr>
        <w:t xml:space="preserve"> a 20</w:t>
      </w:r>
      <w:r w:rsidR="004B71BE" w:rsidRPr="00D57D3F">
        <w:rPr>
          <w:b/>
        </w:rPr>
        <w:t>20</w:t>
      </w:r>
      <w:r w:rsidRPr="00D57D3F">
        <w:rPr>
          <w:b/>
        </w:rPr>
        <w:t xml:space="preserve"> </w:t>
      </w:r>
      <w:r w:rsidR="004B71BE" w:rsidRPr="00D57D3F">
        <w:rPr>
          <w:b/>
        </w:rPr>
        <w:t xml:space="preserve">opět </w:t>
      </w:r>
      <w:r w:rsidR="005B2FA0" w:rsidRPr="00D57D3F">
        <w:rPr>
          <w:b/>
        </w:rPr>
        <w:t xml:space="preserve">vzrostlo </w:t>
      </w:r>
      <w:r w:rsidRPr="00D57D3F">
        <w:rPr>
          <w:b/>
        </w:rPr>
        <w:t>množství materiálově využitých odpadů o</w:t>
      </w:r>
      <w:r w:rsidR="004324EC" w:rsidRPr="00D57D3F">
        <w:rPr>
          <w:b/>
        </w:rPr>
        <w:t> </w:t>
      </w:r>
      <w:r w:rsidR="004B71BE" w:rsidRPr="00D57D3F">
        <w:rPr>
          <w:b/>
        </w:rPr>
        <w:t>1 504</w:t>
      </w:r>
      <w:r w:rsidRPr="00D57D3F">
        <w:rPr>
          <w:b/>
        </w:rPr>
        <w:t xml:space="preserve"> tis. t </w:t>
      </w:r>
      <w:r w:rsidR="005B2FA0" w:rsidRPr="00D57D3F">
        <w:rPr>
          <w:b/>
        </w:rPr>
        <w:t>z</w:t>
      </w:r>
      <w:r w:rsidR="004B71BE" w:rsidRPr="00D57D3F">
        <w:rPr>
          <w:b/>
        </w:rPr>
        <w:t xml:space="preserve"> 31 670 </w:t>
      </w:r>
      <w:r w:rsidR="005B2FA0" w:rsidRPr="00D57D3F">
        <w:rPr>
          <w:b/>
        </w:rPr>
        <w:t>tis. t (201</w:t>
      </w:r>
      <w:r w:rsidR="004B71BE" w:rsidRPr="00D57D3F">
        <w:rPr>
          <w:b/>
        </w:rPr>
        <w:t>9</w:t>
      </w:r>
      <w:r w:rsidR="005B2FA0" w:rsidRPr="00D57D3F">
        <w:rPr>
          <w:b/>
        </w:rPr>
        <w:t>) na 3</w:t>
      </w:r>
      <w:r w:rsidR="00F06B33" w:rsidRPr="00D57D3F">
        <w:rPr>
          <w:b/>
        </w:rPr>
        <w:t>3 174</w:t>
      </w:r>
      <w:r w:rsidRPr="00D57D3F">
        <w:rPr>
          <w:b/>
        </w:rPr>
        <w:t> tis. t</w:t>
      </w:r>
      <w:r w:rsidR="005B2FA0" w:rsidRPr="00D57D3F">
        <w:rPr>
          <w:b/>
        </w:rPr>
        <w:t xml:space="preserve"> v 20</w:t>
      </w:r>
      <w:r w:rsidR="00F06B33" w:rsidRPr="00D57D3F">
        <w:rPr>
          <w:b/>
        </w:rPr>
        <w:t>20</w:t>
      </w:r>
      <w:r w:rsidR="005B2FA0" w:rsidRPr="00D57D3F">
        <w:rPr>
          <w:b/>
          <w:color w:val="000000" w:themeColor="text1"/>
        </w:rPr>
        <w:t>.</w:t>
      </w:r>
      <w:r w:rsidRPr="00D57D3F">
        <w:rPr>
          <w:b/>
          <w:color w:val="000000" w:themeColor="text1"/>
        </w:rPr>
        <w:t xml:space="preserve"> </w:t>
      </w:r>
      <w:r w:rsidRPr="00D57D3F">
        <w:rPr>
          <w:b/>
        </w:rPr>
        <w:t>V roce 20</w:t>
      </w:r>
      <w:r w:rsidR="00F06B33" w:rsidRPr="00D57D3F">
        <w:rPr>
          <w:b/>
        </w:rPr>
        <w:t>20</w:t>
      </w:r>
      <w:r w:rsidRPr="00D57D3F">
        <w:rPr>
          <w:b/>
        </w:rPr>
        <w:t xml:space="preserve"> dosáhl podíl materiálo</w:t>
      </w:r>
      <w:r w:rsidR="005E62F5" w:rsidRPr="00D57D3F">
        <w:rPr>
          <w:b/>
        </w:rPr>
        <w:t xml:space="preserve">vého </w:t>
      </w:r>
      <w:r w:rsidRPr="00D57D3F">
        <w:rPr>
          <w:b/>
        </w:rPr>
        <w:t>využit</w:t>
      </w:r>
      <w:r w:rsidR="005E62F5" w:rsidRPr="00D57D3F">
        <w:rPr>
          <w:b/>
        </w:rPr>
        <w:t>í</w:t>
      </w:r>
      <w:r w:rsidRPr="00D57D3F">
        <w:rPr>
          <w:b/>
        </w:rPr>
        <w:t xml:space="preserve"> odpadů na celkové produkci odpadů 8</w:t>
      </w:r>
      <w:r w:rsidR="00F06B33" w:rsidRPr="00D57D3F">
        <w:rPr>
          <w:b/>
        </w:rPr>
        <w:t>6</w:t>
      </w:r>
      <w:r w:rsidRPr="00D57D3F">
        <w:rPr>
          <w:b/>
        </w:rPr>
        <w:t>,</w:t>
      </w:r>
      <w:r w:rsidR="00F06B33" w:rsidRPr="00D57D3F">
        <w:rPr>
          <w:b/>
        </w:rPr>
        <w:t>2</w:t>
      </w:r>
      <w:r w:rsidR="000A09C2" w:rsidRPr="00D57D3F">
        <w:rPr>
          <w:b/>
        </w:rPr>
        <w:t xml:space="preserve"> </w:t>
      </w:r>
      <w:r w:rsidRPr="00D57D3F">
        <w:rPr>
          <w:b/>
        </w:rPr>
        <w:t>%</w:t>
      </w:r>
      <w:r w:rsidR="005E62F5" w:rsidRPr="00D57D3F">
        <w:rPr>
          <w:b/>
        </w:rPr>
        <w:t>, v roce 201</w:t>
      </w:r>
      <w:r w:rsidR="00F06B33" w:rsidRPr="00D57D3F">
        <w:rPr>
          <w:b/>
        </w:rPr>
        <w:t xml:space="preserve">9 </w:t>
      </w:r>
      <w:r w:rsidR="005E62F5" w:rsidRPr="00D57D3F">
        <w:rPr>
          <w:b/>
        </w:rPr>
        <w:t xml:space="preserve">to bylo </w:t>
      </w:r>
      <w:r w:rsidR="0067412D" w:rsidRPr="00D57D3F">
        <w:rPr>
          <w:b/>
        </w:rPr>
        <w:t>8</w:t>
      </w:r>
      <w:r w:rsidR="00F06B33" w:rsidRPr="00D57D3F">
        <w:rPr>
          <w:b/>
        </w:rPr>
        <w:t>4</w:t>
      </w:r>
      <w:r w:rsidR="0067412D" w:rsidRPr="00D57D3F">
        <w:rPr>
          <w:b/>
        </w:rPr>
        <w:t>,</w:t>
      </w:r>
      <w:r w:rsidR="00F06B33" w:rsidRPr="00D57D3F">
        <w:rPr>
          <w:b/>
        </w:rPr>
        <w:t>8</w:t>
      </w:r>
      <w:r w:rsidR="000A09C2" w:rsidRPr="00D57D3F">
        <w:rPr>
          <w:b/>
        </w:rPr>
        <w:t> </w:t>
      </w:r>
      <w:r w:rsidR="005E62F5" w:rsidRPr="00D57D3F">
        <w:rPr>
          <w:b/>
        </w:rPr>
        <w:t>%</w:t>
      </w:r>
      <w:r w:rsidRPr="00D57D3F">
        <w:rPr>
          <w:b/>
        </w:rPr>
        <w:t>.</w:t>
      </w:r>
      <w:r w:rsidR="009F4B1D" w:rsidRPr="00D57D3F">
        <w:rPr>
          <w:b/>
        </w:rPr>
        <w:t xml:space="preserve"> Opět došlo k meziročnímu zvýšení o </w:t>
      </w:r>
      <w:r w:rsidR="00F06B33" w:rsidRPr="00D57D3F">
        <w:rPr>
          <w:b/>
        </w:rPr>
        <w:t>1</w:t>
      </w:r>
      <w:r w:rsidR="009F4B1D" w:rsidRPr="00D57D3F">
        <w:rPr>
          <w:b/>
        </w:rPr>
        <w:t>,</w:t>
      </w:r>
      <w:r w:rsidR="00F06B33" w:rsidRPr="00D57D3F">
        <w:rPr>
          <w:b/>
        </w:rPr>
        <w:t>4</w:t>
      </w:r>
      <w:r w:rsidR="009F4B1D" w:rsidRPr="00D57D3F">
        <w:rPr>
          <w:b/>
        </w:rPr>
        <w:t xml:space="preserve"> %</w:t>
      </w:r>
      <w:r w:rsidR="009F4B1D" w:rsidRPr="00D57D3F">
        <w:t xml:space="preserve">. </w:t>
      </w:r>
      <w:r w:rsidR="007D7E21" w:rsidRPr="00D57D3F">
        <w:rPr>
          <w:color w:val="000000" w:themeColor="text1"/>
        </w:rPr>
        <w:t xml:space="preserve">(Graf </w:t>
      </w:r>
      <w:r w:rsidR="007D7E21">
        <w:rPr>
          <w:color w:val="000000" w:themeColor="text1"/>
        </w:rPr>
        <w:t>2</w:t>
      </w:r>
      <w:r w:rsidR="007D7E21" w:rsidRPr="00D57D3F">
        <w:rPr>
          <w:color w:val="000000" w:themeColor="text1"/>
        </w:rPr>
        <w:t xml:space="preserve">). </w:t>
      </w:r>
      <w:r w:rsidRPr="00D57D3F">
        <w:t>Mezi nejčastější způsoby materiálového využití odpadů patří recyklace ostatních anorganických materiálů a využití stavebních a</w:t>
      </w:r>
      <w:r w:rsidR="00F06B33" w:rsidRPr="00D57D3F">
        <w:t> </w:t>
      </w:r>
      <w:r w:rsidRPr="00D57D3F">
        <w:t xml:space="preserve">demoličních odpadů </w:t>
      </w:r>
      <w:r w:rsidR="00F06B33" w:rsidRPr="00D57D3F">
        <w:t xml:space="preserve">k zasypávání </w:t>
      </w:r>
      <w:r w:rsidRPr="00D57D3F">
        <w:t>na povrchu terénu</w:t>
      </w:r>
      <w:r w:rsidR="001119E2" w:rsidRPr="00D57D3F">
        <w:t xml:space="preserve">. </w:t>
      </w:r>
    </w:p>
    <w:p w:rsidR="0098165E" w:rsidRPr="00D57D3F" w:rsidRDefault="008C12E6" w:rsidP="00D57682">
      <w:pPr>
        <w:spacing w:after="60" w:line="276" w:lineRule="auto"/>
      </w:pPr>
      <w:r w:rsidRPr="00D57D3F">
        <w:t xml:space="preserve">Energeticky využívána je jen malá část z celkové produkce odpadů. </w:t>
      </w:r>
      <w:r w:rsidRPr="00D57D3F">
        <w:rPr>
          <w:b/>
        </w:rPr>
        <w:t>V roce 20</w:t>
      </w:r>
      <w:r w:rsidR="00676378" w:rsidRPr="00D57D3F">
        <w:rPr>
          <w:b/>
        </w:rPr>
        <w:t>20</w:t>
      </w:r>
      <w:r w:rsidRPr="00D57D3F">
        <w:rPr>
          <w:b/>
        </w:rPr>
        <w:t xml:space="preserve"> podíl energetického využití odpadů na celkové produkci odpadů činil 3,</w:t>
      </w:r>
      <w:r w:rsidR="00676378" w:rsidRPr="00D57D3F">
        <w:rPr>
          <w:b/>
        </w:rPr>
        <w:t>6</w:t>
      </w:r>
      <w:r w:rsidRPr="00D57D3F">
        <w:rPr>
          <w:b/>
        </w:rPr>
        <w:t xml:space="preserve"> %</w:t>
      </w:r>
      <w:r w:rsidR="005E62F5" w:rsidRPr="00D57D3F">
        <w:rPr>
          <w:b/>
        </w:rPr>
        <w:t>, v roce 201</w:t>
      </w:r>
      <w:r w:rsidR="00676378" w:rsidRPr="00D57D3F">
        <w:rPr>
          <w:b/>
        </w:rPr>
        <w:t>9</w:t>
      </w:r>
      <w:r w:rsidR="005E62F5" w:rsidRPr="00D57D3F">
        <w:rPr>
          <w:b/>
        </w:rPr>
        <w:t xml:space="preserve"> to bylo </w:t>
      </w:r>
      <w:r w:rsidR="0067412D" w:rsidRPr="00D57D3F">
        <w:rPr>
          <w:b/>
        </w:rPr>
        <w:t>3,</w:t>
      </w:r>
      <w:r w:rsidR="00676378" w:rsidRPr="00D57D3F">
        <w:rPr>
          <w:b/>
        </w:rPr>
        <w:t>5</w:t>
      </w:r>
      <w:r w:rsidR="005E62F5" w:rsidRPr="00D57D3F">
        <w:rPr>
          <w:b/>
        </w:rPr>
        <w:t xml:space="preserve"> %</w:t>
      </w:r>
      <w:r w:rsidR="005E62F5" w:rsidRPr="00D57D3F">
        <w:t xml:space="preserve">, </w:t>
      </w:r>
      <w:r w:rsidRPr="00D57D3F">
        <w:t>a meziročně 201</w:t>
      </w:r>
      <w:r w:rsidR="00676378" w:rsidRPr="00D57D3F">
        <w:t>9</w:t>
      </w:r>
      <w:r w:rsidR="00C91B75" w:rsidRPr="00D57D3F">
        <w:t>-</w:t>
      </w:r>
      <w:r w:rsidRPr="00D57D3F">
        <w:t>20</w:t>
      </w:r>
      <w:r w:rsidR="00676378" w:rsidRPr="00D57D3F">
        <w:t>20</w:t>
      </w:r>
      <w:r w:rsidRPr="00D57D3F">
        <w:t xml:space="preserve"> do</w:t>
      </w:r>
      <w:r w:rsidRPr="00D57D3F">
        <w:t xml:space="preserve">šlo k mírnému </w:t>
      </w:r>
      <w:r w:rsidR="00676378" w:rsidRPr="00D57D3F">
        <w:t xml:space="preserve">nárůstu </w:t>
      </w:r>
      <w:r w:rsidRPr="00D57D3F">
        <w:t xml:space="preserve">množství energeticky využitých odpadů o </w:t>
      </w:r>
      <w:r w:rsidR="00676378" w:rsidRPr="00D57D3F">
        <w:t>87,4</w:t>
      </w:r>
      <w:r w:rsidRPr="00D57D3F">
        <w:t xml:space="preserve"> tis. t na 1</w:t>
      </w:r>
      <w:r w:rsidR="00676378" w:rsidRPr="00D57D3F">
        <w:t> 382,8</w:t>
      </w:r>
      <w:r w:rsidRPr="00D57D3F">
        <w:t xml:space="preserve"> tis. t v roce 20</w:t>
      </w:r>
      <w:r w:rsidR="00676378" w:rsidRPr="00D57D3F">
        <w:t>20</w:t>
      </w:r>
      <w:r w:rsidR="007D7E21">
        <w:t>.</w:t>
      </w:r>
      <w:r w:rsidRPr="00D57D3F">
        <w:t xml:space="preserve"> </w:t>
      </w:r>
    </w:p>
    <w:p w:rsidR="0098165E" w:rsidRPr="00D57D3F" w:rsidRDefault="008C12E6" w:rsidP="00BC222E">
      <w:pPr>
        <w:spacing w:line="276" w:lineRule="auto"/>
      </w:pPr>
      <w:r w:rsidRPr="00D57D3F">
        <w:rPr>
          <w:b/>
        </w:rPr>
        <w:t>V roce 20</w:t>
      </w:r>
      <w:r w:rsidR="006B38AD" w:rsidRPr="00D57D3F">
        <w:rPr>
          <w:b/>
        </w:rPr>
        <w:t>20</w:t>
      </w:r>
      <w:r w:rsidRPr="00D57D3F">
        <w:rPr>
          <w:b/>
        </w:rPr>
        <w:t xml:space="preserve"> je odstraňováno okolo </w:t>
      </w:r>
      <w:r w:rsidR="006B38AD" w:rsidRPr="00D57D3F">
        <w:rPr>
          <w:b/>
        </w:rPr>
        <w:t>1</w:t>
      </w:r>
      <w:r w:rsidR="00620F41" w:rsidRPr="00D57D3F">
        <w:rPr>
          <w:b/>
        </w:rPr>
        <w:t>0</w:t>
      </w:r>
      <w:r w:rsidRPr="00D57D3F">
        <w:rPr>
          <w:b/>
        </w:rPr>
        <w:t xml:space="preserve"> % všech vyprodukovaných odpadů, přičemž nejčastěji jsou odstraňovány komunální odpady</w:t>
      </w:r>
      <w:r w:rsidRPr="00D57D3F">
        <w:t xml:space="preserve"> (</w:t>
      </w:r>
      <w:proofErr w:type="spellStart"/>
      <w:r w:rsidRPr="00D57D3F">
        <w:t>sk</w:t>
      </w:r>
      <w:proofErr w:type="spellEnd"/>
      <w:r w:rsidRPr="00D57D3F">
        <w:t xml:space="preserve">. 20), které zaujímají </w:t>
      </w:r>
      <w:r w:rsidR="00D57682" w:rsidRPr="00D57D3F">
        <w:t xml:space="preserve">až </w:t>
      </w:r>
      <w:r w:rsidRPr="00D57D3F">
        <w:t>7</w:t>
      </w:r>
      <w:r w:rsidR="006B38AD" w:rsidRPr="00D57D3F">
        <w:t>1</w:t>
      </w:r>
      <w:r w:rsidRPr="00D57D3F">
        <w:t xml:space="preserve">% podíl ze všech odstraněných odpadů. Nejčastějším způsobem odstraňování odpadů je </w:t>
      </w:r>
      <w:r w:rsidRPr="00D57D3F">
        <w:rPr>
          <w:b/>
        </w:rPr>
        <w:t>skládkování</w:t>
      </w:r>
      <w:r w:rsidRPr="00D57D3F">
        <w:t xml:space="preserve"> (ukládání v úrovni nebo pod úrovní terénu). V roce 20</w:t>
      </w:r>
      <w:r w:rsidR="006B38AD" w:rsidRPr="00D57D3F">
        <w:t>20</w:t>
      </w:r>
      <w:r w:rsidRPr="00D57D3F">
        <w:t xml:space="preserve"> dosáhl podíl skládkování na celkové produkci odpadů 9,</w:t>
      </w:r>
      <w:r w:rsidR="006B38AD" w:rsidRPr="00D57D3F">
        <w:t>8</w:t>
      </w:r>
      <w:r w:rsidRPr="00D57D3F">
        <w:t xml:space="preserve"> %</w:t>
      </w:r>
      <w:r w:rsidR="005E62F5" w:rsidRPr="00D57D3F">
        <w:t>, v roce 201</w:t>
      </w:r>
      <w:r w:rsidR="006B38AD" w:rsidRPr="00D57D3F">
        <w:t>9</w:t>
      </w:r>
      <w:r w:rsidR="005E62F5" w:rsidRPr="00D57D3F">
        <w:t xml:space="preserve"> to bylo </w:t>
      </w:r>
      <w:r w:rsidR="00085B90" w:rsidRPr="00D57D3F">
        <w:t>9</w:t>
      </w:r>
      <w:r w:rsidR="0067412D" w:rsidRPr="00D57D3F">
        <w:t>,</w:t>
      </w:r>
      <w:r w:rsidR="006B38AD" w:rsidRPr="00D57D3F">
        <w:t>7</w:t>
      </w:r>
      <w:r w:rsidR="0067412D" w:rsidRPr="00D57D3F">
        <w:t xml:space="preserve"> </w:t>
      </w:r>
      <w:r w:rsidR="005E62F5" w:rsidRPr="00D57D3F">
        <w:t>%</w:t>
      </w:r>
      <w:r w:rsidRPr="00D57D3F">
        <w:t xml:space="preserve">. V meziročním </w:t>
      </w:r>
      <w:r w:rsidRPr="00D57D3F">
        <w:t>srovnání 201</w:t>
      </w:r>
      <w:r w:rsidR="006B38AD" w:rsidRPr="00D57D3F">
        <w:t>9</w:t>
      </w:r>
      <w:r w:rsidR="00C91B75" w:rsidRPr="00D57D3F">
        <w:t>-</w:t>
      </w:r>
      <w:r w:rsidRPr="00D57D3F">
        <w:t>20</w:t>
      </w:r>
      <w:r w:rsidR="006B38AD" w:rsidRPr="00D57D3F">
        <w:t>20</w:t>
      </w:r>
      <w:r w:rsidRPr="00D57D3F">
        <w:t xml:space="preserve"> došlo k</w:t>
      </w:r>
      <w:r w:rsidR="006B38AD" w:rsidRPr="00D57D3F">
        <w:t xml:space="preserve"> mírnému zvýšení </w:t>
      </w:r>
      <w:r w:rsidRPr="00D57D3F">
        <w:t xml:space="preserve">množství skládkovaných odpadů o </w:t>
      </w:r>
      <w:r w:rsidR="00EB788E" w:rsidRPr="00D57D3F">
        <w:t>1</w:t>
      </w:r>
      <w:r w:rsidR="006B38AD" w:rsidRPr="00D57D3F">
        <w:t>47,</w:t>
      </w:r>
      <w:r w:rsidR="00EB788E" w:rsidRPr="00D57D3F">
        <w:t>6</w:t>
      </w:r>
      <w:r w:rsidRPr="00D57D3F">
        <w:t xml:space="preserve"> tis. t na hodnotu </w:t>
      </w:r>
      <w:r w:rsidR="00B574E6" w:rsidRPr="00D57D3F">
        <w:t>3</w:t>
      </w:r>
      <w:r w:rsidR="006B38AD" w:rsidRPr="00D57D3F">
        <w:t> 761,8</w:t>
      </w:r>
      <w:r w:rsidRPr="00D57D3F">
        <w:t xml:space="preserve"> tis. t</w:t>
      </w:r>
      <w:r w:rsidR="00047516" w:rsidRPr="00D57D3F">
        <w:t xml:space="preserve"> v roce 20</w:t>
      </w:r>
      <w:r w:rsidR="006B38AD" w:rsidRPr="00D57D3F">
        <w:t>20</w:t>
      </w:r>
      <w:r w:rsidR="00047516" w:rsidRPr="00D57D3F">
        <w:t xml:space="preserve">. </w:t>
      </w:r>
      <w:r w:rsidRPr="00D57D3F">
        <w:t xml:space="preserve"> (Graf </w:t>
      </w:r>
      <w:r w:rsidR="007D7E21">
        <w:t>2</w:t>
      </w:r>
      <w:r w:rsidRPr="00D57D3F">
        <w:t xml:space="preserve">). </w:t>
      </w:r>
    </w:p>
    <w:p w:rsidR="00B06344" w:rsidRPr="00C672C2" w:rsidRDefault="008C12E6" w:rsidP="007D7E21">
      <w:pPr>
        <w:spacing w:line="276" w:lineRule="auto"/>
      </w:pPr>
      <w:r w:rsidRPr="00D57D3F">
        <w:t xml:space="preserve">Dalším způsobem odstranění odpadů je </w:t>
      </w:r>
      <w:r w:rsidRPr="00D57D3F">
        <w:rPr>
          <w:b/>
        </w:rPr>
        <w:t>spalování</w:t>
      </w:r>
      <w:r w:rsidRPr="00D57D3F">
        <w:t>. V roce 20</w:t>
      </w:r>
      <w:r w:rsidR="004032E1" w:rsidRPr="00D57D3F">
        <w:t>20</w:t>
      </w:r>
      <w:r w:rsidRPr="00D57D3F">
        <w:t xml:space="preserve"> dosáhl</w:t>
      </w:r>
      <w:r w:rsidR="001119E2" w:rsidRPr="00D57D3F">
        <w:t xml:space="preserve">o spalování zanedbatelného </w:t>
      </w:r>
      <w:r w:rsidRPr="00D57D3F">
        <w:t>podíl</w:t>
      </w:r>
      <w:r w:rsidR="001119E2" w:rsidRPr="00D57D3F">
        <w:t xml:space="preserve">u </w:t>
      </w:r>
      <w:r w:rsidRPr="00D57D3F">
        <w:t>na celkové produk</w:t>
      </w:r>
      <w:r w:rsidRPr="00D57D3F">
        <w:t>ci odpadů 0,2</w:t>
      </w:r>
      <w:r w:rsidR="004032E1" w:rsidRPr="00D57D3F">
        <w:t>3</w:t>
      </w:r>
      <w:r w:rsidRPr="00D57D3F">
        <w:t xml:space="preserve"> %</w:t>
      </w:r>
      <w:r w:rsidR="005E62F5" w:rsidRPr="00D57D3F">
        <w:t xml:space="preserve">, </w:t>
      </w:r>
      <w:r w:rsidR="003E07AB" w:rsidRPr="00D57D3F">
        <w:t xml:space="preserve">podobně jako </w:t>
      </w:r>
      <w:r w:rsidR="005E62F5" w:rsidRPr="00D57D3F">
        <w:t>v roce 201</w:t>
      </w:r>
      <w:r w:rsidR="004032E1" w:rsidRPr="00D57D3F">
        <w:t>9</w:t>
      </w:r>
      <w:r w:rsidR="00DC163E" w:rsidRPr="00D57D3F">
        <w:t xml:space="preserve">, </w:t>
      </w:r>
      <w:r w:rsidR="003E07AB" w:rsidRPr="00D57D3F">
        <w:t xml:space="preserve">kdy </w:t>
      </w:r>
      <w:r w:rsidR="005E62F5" w:rsidRPr="00D57D3F">
        <w:t xml:space="preserve">to bylo </w:t>
      </w:r>
      <w:r w:rsidR="0067412D" w:rsidRPr="00D57D3F">
        <w:t>0,2</w:t>
      </w:r>
      <w:r w:rsidR="004032E1" w:rsidRPr="00D57D3F">
        <w:t>4</w:t>
      </w:r>
      <w:r w:rsidR="005E62F5" w:rsidRPr="00D57D3F">
        <w:t xml:space="preserve"> %</w:t>
      </w:r>
      <w:r w:rsidR="00A40947" w:rsidRPr="00D57D3F">
        <w:t>.</w:t>
      </w:r>
      <w:r w:rsidR="00333A7C" w:rsidRPr="00D57D3F">
        <w:t xml:space="preserve"> (Graf </w:t>
      </w:r>
      <w:r w:rsidR="007D7E21">
        <w:t>2</w:t>
      </w:r>
      <w:r w:rsidR="00333A7C" w:rsidRPr="00D57D3F">
        <w:t>).</w:t>
      </w:r>
      <w:r w:rsidRPr="00D57D3F">
        <w:t xml:space="preserve"> V roce 2020 činilo množství odpadů odstraněných spalováním 88,8 tis. t.</w:t>
      </w:r>
    </w:p>
    <w:p w:rsidR="0098165E" w:rsidRPr="00144737" w:rsidRDefault="0098165E" w:rsidP="007D7E21">
      <w:pPr>
        <w:spacing w:after="120" w:line="276" w:lineRule="auto"/>
      </w:pPr>
    </w:p>
    <w:p w:rsidR="001C610F" w:rsidRPr="00D57D3F" w:rsidRDefault="008C12E6" w:rsidP="0098165E">
      <w:pPr>
        <w:spacing w:after="120" w:line="276" w:lineRule="auto"/>
      </w:pPr>
      <w:bookmarkStart w:id="14" w:name="_Hlk100907267"/>
      <w:r w:rsidRPr="00D57D3F">
        <w:lastRenderedPageBreak/>
        <w:t>Podíl využití nebezpečných odpadů meziročně poklesl</w:t>
      </w:r>
      <w:r w:rsidR="00F41358" w:rsidRPr="00D57D3F">
        <w:t xml:space="preserve"> z 3</w:t>
      </w:r>
      <w:r w:rsidR="00B26693" w:rsidRPr="00D57D3F">
        <w:t>6</w:t>
      </w:r>
      <w:r w:rsidR="00F41358" w:rsidRPr="00D57D3F">
        <w:t>,</w:t>
      </w:r>
      <w:r w:rsidR="00B26693" w:rsidRPr="00D57D3F">
        <w:t>9</w:t>
      </w:r>
      <w:r w:rsidR="00F41358" w:rsidRPr="00D57D3F">
        <w:t xml:space="preserve"> % v roce 201</w:t>
      </w:r>
      <w:r w:rsidR="00B26693" w:rsidRPr="00D57D3F">
        <w:t>9</w:t>
      </w:r>
      <w:r w:rsidR="00F41358" w:rsidRPr="00D57D3F">
        <w:t xml:space="preserve"> na 3</w:t>
      </w:r>
      <w:r w:rsidR="00B26693" w:rsidRPr="00D57D3F">
        <w:t>3</w:t>
      </w:r>
      <w:r w:rsidR="00F41358" w:rsidRPr="00D57D3F">
        <w:t>,</w:t>
      </w:r>
      <w:r w:rsidR="00B26693" w:rsidRPr="00D57D3F">
        <w:t>8</w:t>
      </w:r>
      <w:r w:rsidR="00F41358" w:rsidRPr="00D57D3F">
        <w:t xml:space="preserve"> % v roce 20</w:t>
      </w:r>
      <w:r w:rsidR="00B26693" w:rsidRPr="00D57D3F">
        <w:t>20</w:t>
      </w:r>
      <w:r w:rsidR="00F41358" w:rsidRPr="00D57D3F">
        <w:t xml:space="preserve">, </w:t>
      </w:r>
      <w:r w:rsidRPr="00D57D3F">
        <w:t xml:space="preserve">stejně </w:t>
      </w:r>
      <w:r w:rsidR="00F41358" w:rsidRPr="00D57D3F">
        <w:t xml:space="preserve">tak poklesl </w:t>
      </w:r>
      <w:r w:rsidRPr="00D57D3F">
        <w:rPr>
          <w:b/>
        </w:rPr>
        <w:t xml:space="preserve">podíl materiálově využitých nebezpečných odpadů </w:t>
      </w:r>
      <w:r w:rsidRPr="00D57D3F">
        <w:t>z 3</w:t>
      </w:r>
      <w:r w:rsidR="00B26693" w:rsidRPr="00D57D3F">
        <w:t>4</w:t>
      </w:r>
      <w:r w:rsidRPr="00D57D3F">
        <w:t>,</w:t>
      </w:r>
      <w:r w:rsidR="00B26693" w:rsidRPr="00D57D3F">
        <w:t>4</w:t>
      </w:r>
      <w:r w:rsidRPr="00D57D3F">
        <w:t xml:space="preserve"> % v roce 201</w:t>
      </w:r>
      <w:r w:rsidR="00B26693" w:rsidRPr="00D57D3F">
        <w:t>9</w:t>
      </w:r>
      <w:r w:rsidRPr="00D57D3F">
        <w:t xml:space="preserve"> na </w:t>
      </w:r>
      <w:r w:rsidR="00B26693" w:rsidRPr="00D57D3F">
        <w:t>30</w:t>
      </w:r>
      <w:r w:rsidR="007B0223" w:rsidRPr="00D57D3F">
        <w:t>,</w:t>
      </w:r>
      <w:r w:rsidR="00B26693" w:rsidRPr="00D57D3F">
        <w:t>4</w:t>
      </w:r>
      <w:r w:rsidR="007B0223" w:rsidRPr="00D57D3F">
        <w:t xml:space="preserve"> </w:t>
      </w:r>
      <w:r w:rsidRPr="00D57D3F">
        <w:t>% v roce 20</w:t>
      </w:r>
      <w:r w:rsidR="00B26693" w:rsidRPr="00D57D3F">
        <w:t>20</w:t>
      </w:r>
      <w:r w:rsidRPr="00D57D3F">
        <w:t xml:space="preserve">. </w:t>
      </w:r>
      <w:r w:rsidR="00B26693" w:rsidRPr="00D57D3F">
        <w:t xml:space="preserve">Meziročně došlo také k poklesu </w:t>
      </w:r>
      <w:r w:rsidR="007B0223" w:rsidRPr="00D57D3F">
        <w:t xml:space="preserve">množství materiálově využitých nebezpečných odpadů o </w:t>
      </w:r>
      <w:r w:rsidR="00B26693" w:rsidRPr="00D57D3F">
        <w:t>64</w:t>
      </w:r>
      <w:r w:rsidR="00777E67" w:rsidRPr="00D57D3F">
        <w:t xml:space="preserve"> </w:t>
      </w:r>
      <w:r w:rsidR="007B0223" w:rsidRPr="00D57D3F">
        <w:t>tis. t</w:t>
      </w:r>
      <w:r w:rsidR="00570843" w:rsidRPr="00D57D3F">
        <w:t xml:space="preserve">. </w:t>
      </w:r>
      <w:r w:rsidRPr="00D57D3F">
        <w:t>Materiálově bylo v roce 20</w:t>
      </w:r>
      <w:r w:rsidR="00B26693" w:rsidRPr="00D57D3F">
        <w:t>20</w:t>
      </w:r>
      <w:r w:rsidRPr="00D57D3F">
        <w:t xml:space="preserve"> využíváno </w:t>
      </w:r>
      <w:r w:rsidR="007B0223" w:rsidRPr="00D57D3F">
        <w:t>už 5</w:t>
      </w:r>
      <w:r w:rsidR="00B26693" w:rsidRPr="00D57D3F">
        <w:t>41,3</w:t>
      </w:r>
      <w:r w:rsidR="007B0223" w:rsidRPr="00D57D3F">
        <w:t xml:space="preserve"> </w:t>
      </w:r>
      <w:r w:rsidRPr="00D57D3F">
        <w:t>tis. t ne</w:t>
      </w:r>
      <w:r w:rsidRPr="00D57D3F">
        <w:t>bezpečných odpadů, v roce 201</w:t>
      </w:r>
      <w:r w:rsidR="00B26693" w:rsidRPr="00D57D3F">
        <w:t>9</w:t>
      </w:r>
      <w:r w:rsidRPr="00D57D3F">
        <w:t xml:space="preserve"> to bylo </w:t>
      </w:r>
      <w:r w:rsidR="00B26693" w:rsidRPr="00D57D3F">
        <w:t>605,3</w:t>
      </w:r>
      <w:r w:rsidR="007B0223" w:rsidRPr="00D57D3F">
        <w:t xml:space="preserve"> </w:t>
      </w:r>
      <w:r w:rsidRPr="00D57D3F">
        <w:t>tis.</w:t>
      </w:r>
      <w:r w:rsidR="00175471" w:rsidRPr="00D57D3F">
        <w:t xml:space="preserve"> </w:t>
      </w:r>
      <w:r w:rsidRPr="00D57D3F">
        <w:t xml:space="preserve">t. </w:t>
      </w:r>
      <w:r w:rsidR="00753463" w:rsidRPr="00D57D3F">
        <w:t>Přes tento meziroční pokles v posledních pěti letech množství materiálově využitých nebezpečných odpadů rostlo.</w:t>
      </w:r>
      <w:bookmarkEnd w:id="14"/>
      <w:r w:rsidR="001B3045" w:rsidRPr="00D57D3F">
        <w:t xml:space="preserve"> Je třeba sledovat a vyhodnotit situaci v dalších letech. </w:t>
      </w:r>
      <w:r w:rsidRPr="00D57D3F">
        <w:t>Energeticky je využívána menší čás</w:t>
      </w:r>
      <w:r w:rsidRPr="00D57D3F">
        <w:t xml:space="preserve">t nebezpečných odpadů </w:t>
      </w:r>
      <w:r w:rsidR="00B26693" w:rsidRPr="00D57D3F">
        <w:t>61,3</w:t>
      </w:r>
      <w:r w:rsidRPr="00D57D3F">
        <w:t xml:space="preserve"> tis. t. v roce 20</w:t>
      </w:r>
      <w:r w:rsidR="00B26693" w:rsidRPr="00D57D3F">
        <w:t>20</w:t>
      </w:r>
      <w:r w:rsidRPr="00D57D3F">
        <w:t xml:space="preserve">.  </w:t>
      </w:r>
      <w:r w:rsidR="00F41358" w:rsidRPr="00D57D3F">
        <w:t>V roce 20</w:t>
      </w:r>
      <w:r w:rsidR="00B26693" w:rsidRPr="00D57D3F">
        <w:t>20</w:t>
      </w:r>
      <w:r w:rsidR="00F41358" w:rsidRPr="00D57D3F">
        <w:t xml:space="preserve"> je </w:t>
      </w:r>
      <w:r w:rsidR="00B26693" w:rsidRPr="00D57D3F">
        <w:t>83,8</w:t>
      </w:r>
      <w:r w:rsidR="00F41358" w:rsidRPr="00D57D3F">
        <w:t xml:space="preserve"> tis. t nebezpečných odpadů odstraňováno spalováním a </w:t>
      </w:r>
      <w:r w:rsidR="00B26693" w:rsidRPr="00D57D3F">
        <w:t>77,2</w:t>
      </w:r>
      <w:r w:rsidR="00F41358" w:rsidRPr="00D57D3F">
        <w:t xml:space="preserve"> tis. t je odstraňováno skládkováním. </w:t>
      </w:r>
    </w:p>
    <w:p w:rsidR="004D0567" w:rsidRPr="00D57D3F" w:rsidRDefault="008C12E6" w:rsidP="00AD0EEA">
      <w:pPr>
        <w:spacing w:after="240" w:line="276" w:lineRule="auto"/>
      </w:pPr>
      <w:r w:rsidRPr="00D57D3F">
        <w:t xml:space="preserve">V roce 2020 bylo </w:t>
      </w:r>
      <w:r w:rsidR="00773854" w:rsidRPr="00D57D3F">
        <w:t xml:space="preserve">51 % produkovaných nebezpečných odpadů </w:t>
      </w:r>
      <w:r w:rsidR="00F94D0A" w:rsidRPr="00D57D3F">
        <w:t xml:space="preserve">tj. 905 tis. t. </w:t>
      </w:r>
      <w:r w:rsidR="00773854" w:rsidRPr="00D57D3F">
        <w:t xml:space="preserve">upravováno </w:t>
      </w:r>
      <w:r w:rsidR="00F94D0A" w:rsidRPr="00D57D3F">
        <w:t xml:space="preserve">různými způsoby úpravy, které eliminují nebo snižují jejich nebezpečné vlastnosti, což je významně přispívá minimalizaci rizik při manipulaci a nakládání s nimi a zvyšuje ochranu životního prostředí.  </w:t>
      </w:r>
      <w:r w:rsidRPr="00D57D3F">
        <w:t xml:space="preserve">V roce 2019 to bylo 52 %, 917 tis. t.  </w:t>
      </w:r>
    </w:p>
    <w:p w:rsidR="0098165E" w:rsidRPr="00AD0EEA" w:rsidRDefault="008C12E6" w:rsidP="0098165E">
      <w:pPr>
        <w:rPr>
          <w:b/>
        </w:rPr>
      </w:pPr>
      <w:r w:rsidRPr="00AD0EEA">
        <w:rPr>
          <w:b/>
        </w:rPr>
        <w:t xml:space="preserve">Graf </w:t>
      </w:r>
      <w:r w:rsidR="00A51A91" w:rsidRPr="00AD0EEA">
        <w:rPr>
          <w:b/>
        </w:rPr>
        <w:t>2</w:t>
      </w:r>
      <w:r w:rsidR="00D22AF5" w:rsidRPr="00AD0EEA">
        <w:rPr>
          <w:b/>
        </w:rPr>
        <w:t>:</w:t>
      </w:r>
    </w:p>
    <w:p w:rsidR="00B323C5" w:rsidRPr="00B323C5" w:rsidRDefault="008C12E6" w:rsidP="00B323C5">
      <w:pPr>
        <w:spacing w:after="60"/>
        <w:rPr>
          <w:b/>
        </w:rPr>
      </w:pPr>
      <w:r w:rsidRPr="00AD0EEA">
        <w:rPr>
          <w:b/>
        </w:rPr>
        <w:t>Podíl</w:t>
      </w:r>
      <w:r w:rsidRPr="00D57D3F">
        <w:rPr>
          <w:b/>
        </w:rPr>
        <w:t xml:space="preserve"> v</w:t>
      </w:r>
      <w:r w:rsidRPr="00D57D3F">
        <w:rPr>
          <w:b/>
        </w:rPr>
        <w:t>ybraných způsobů nakládání s odpady na celkové produkci odpadů v ČR [%], 2009</w:t>
      </w:r>
      <w:r w:rsidR="000377DC" w:rsidRPr="00D57D3F">
        <w:rPr>
          <w:b/>
        </w:rPr>
        <w:t>-</w:t>
      </w:r>
      <w:r w:rsidRPr="00D57D3F">
        <w:rPr>
          <w:b/>
        </w:rPr>
        <w:t>20</w:t>
      </w:r>
      <w:r w:rsidR="00480617" w:rsidRPr="00D57D3F">
        <w:rPr>
          <w:b/>
        </w:rPr>
        <w:t>20</w:t>
      </w:r>
    </w:p>
    <w:p w:rsidR="0098165E" w:rsidRPr="003D577C" w:rsidRDefault="008C12E6" w:rsidP="0098165E">
      <w:r>
        <w:rPr>
          <w:noProof/>
        </w:rPr>
        <w:drawing>
          <wp:inline distT="0" distB="0" distL="0" distR="0">
            <wp:extent cx="6090285" cy="3347499"/>
            <wp:effectExtent l="0" t="0" r="5715" b="571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165E" w:rsidRPr="000F03D0" w:rsidRDefault="008C12E6" w:rsidP="0098165E">
      <w:pPr>
        <w:rPr>
          <w:i/>
          <w:sz w:val="18"/>
          <w:szCs w:val="18"/>
        </w:rPr>
      </w:pPr>
      <w:r w:rsidRPr="000F03D0">
        <w:rPr>
          <w:i/>
          <w:sz w:val="18"/>
          <w:szCs w:val="18"/>
        </w:rPr>
        <w:t xml:space="preserve">Data byla stanovena podle metodiky Matematické vyjádření výpočtu „soustavy indikátorů OH“ platné pro daný rok. </w:t>
      </w:r>
    </w:p>
    <w:p w:rsidR="0098165E" w:rsidRPr="000F03D0" w:rsidRDefault="008C12E6" w:rsidP="001E684B">
      <w:pPr>
        <w:spacing w:after="240"/>
        <w:rPr>
          <w:i/>
          <w:sz w:val="18"/>
          <w:szCs w:val="18"/>
        </w:rPr>
      </w:pPr>
      <w:r w:rsidRPr="000F03D0">
        <w:rPr>
          <w:i/>
          <w:sz w:val="18"/>
          <w:szCs w:val="18"/>
        </w:rPr>
        <w:t xml:space="preserve">Zdroj: </w:t>
      </w:r>
      <w:r w:rsidR="007C5BC2">
        <w:rPr>
          <w:i/>
          <w:sz w:val="18"/>
          <w:szCs w:val="18"/>
        </w:rPr>
        <w:t>ISOH</w:t>
      </w:r>
      <w:r w:rsidR="00D12201">
        <w:rPr>
          <w:i/>
          <w:sz w:val="18"/>
          <w:szCs w:val="18"/>
        </w:rPr>
        <w:t>,</w:t>
      </w:r>
      <w:r w:rsidR="007C5BC2">
        <w:rPr>
          <w:i/>
          <w:sz w:val="18"/>
          <w:szCs w:val="18"/>
        </w:rPr>
        <w:t xml:space="preserve"> </w:t>
      </w:r>
      <w:r w:rsidRPr="000F03D0">
        <w:rPr>
          <w:i/>
          <w:sz w:val="18"/>
          <w:szCs w:val="18"/>
        </w:rPr>
        <w:t>MŽP</w:t>
      </w:r>
      <w:r w:rsidR="007C5BC2">
        <w:rPr>
          <w:i/>
          <w:sz w:val="18"/>
          <w:szCs w:val="18"/>
        </w:rPr>
        <w:t xml:space="preserve">, </w:t>
      </w:r>
      <w:r w:rsidRPr="000F03D0">
        <w:rPr>
          <w:i/>
          <w:sz w:val="18"/>
          <w:szCs w:val="18"/>
        </w:rPr>
        <w:t>CENIA</w:t>
      </w:r>
      <w:r w:rsidR="00480617">
        <w:rPr>
          <w:i/>
          <w:sz w:val="18"/>
          <w:szCs w:val="18"/>
        </w:rPr>
        <w:t>, Zpráva o životním prostředí 2020</w:t>
      </w:r>
    </w:p>
    <w:p w:rsidR="004F63AA" w:rsidRDefault="004F63AA" w:rsidP="00EA2A9E">
      <w:pPr>
        <w:spacing w:after="120" w:line="276" w:lineRule="auto"/>
        <w:rPr>
          <w:bCs/>
        </w:rPr>
      </w:pPr>
    </w:p>
    <w:p w:rsidR="00794660" w:rsidRPr="00D57D3F" w:rsidRDefault="008C12E6" w:rsidP="00EA2A9E">
      <w:pPr>
        <w:spacing w:after="120" w:line="276" w:lineRule="auto"/>
        <w:rPr>
          <w:b/>
          <w:bCs/>
        </w:rPr>
      </w:pPr>
      <w:r w:rsidRPr="00D57D3F">
        <w:rPr>
          <w:b/>
          <w:bCs/>
        </w:rPr>
        <w:t>Hlavní legislativní a metodické činnosti Ministerstva životního prostředí</w:t>
      </w:r>
    </w:p>
    <w:p w:rsidR="00571C56" w:rsidRPr="00D57D3F" w:rsidRDefault="008C12E6" w:rsidP="00571C56">
      <w:pPr>
        <w:spacing w:after="120" w:line="276" w:lineRule="auto"/>
        <w:rPr>
          <w:bCs/>
        </w:rPr>
      </w:pPr>
      <w:r w:rsidRPr="00D57D3F">
        <w:rPr>
          <w:bCs/>
        </w:rPr>
        <w:t>MŽP průběžně vydává metodické pokyny ke správnému nakládání s o</w:t>
      </w:r>
      <w:r w:rsidR="00E04A11" w:rsidRPr="00D57D3F">
        <w:rPr>
          <w:bCs/>
        </w:rPr>
        <w:t>d</w:t>
      </w:r>
      <w:r w:rsidRPr="00D57D3F">
        <w:rPr>
          <w:bCs/>
        </w:rPr>
        <w:t xml:space="preserve">pady např. </w:t>
      </w:r>
      <w:r w:rsidRPr="00D57D3F">
        <w:rPr>
          <w:bCs/>
          <w:i/>
        </w:rPr>
        <w:t xml:space="preserve">Metodický návod pro řízení vzniku stavebních a demoličních odpadů a pro nakládání s nimi, Metodický </w:t>
      </w:r>
      <w:r w:rsidRPr="00D57D3F">
        <w:rPr>
          <w:bCs/>
          <w:i/>
        </w:rPr>
        <w:lastRenderedPageBreak/>
        <w:t xml:space="preserve">pokyn </w:t>
      </w:r>
      <w:r w:rsidRPr="00D57D3F">
        <w:rPr>
          <w:bCs/>
          <w:i/>
        </w:rPr>
        <w:t>k správnému nakládání s odpady z</w:t>
      </w:r>
      <w:r w:rsidR="00FC6ABC" w:rsidRPr="00D57D3F">
        <w:rPr>
          <w:bCs/>
          <w:i/>
        </w:rPr>
        <w:t> </w:t>
      </w:r>
      <w:r w:rsidRPr="00D57D3F">
        <w:rPr>
          <w:bCs/>
          <w:i/>
        </w:rPr>
        <w:t>azbestu</w:t>
      </w:r>
      <w:r w:rsidR="00FC6ABC" w:rsidRPr="00D57D3F">
        <w:rPr>
          <w:bCs/>
        </w:rPr>
        <w:t xml:space="preserve">, </w:t>
      </w:r>
      <w:r w:rsidR="00FC6ABC" w:rsidRPr="00D57D3F">
        <w:rPr>
          <w:i/>
        </w:rPr>
        <w:t>Metodický návod pro plnění evidenčních a</w:t>
      </w:r>
      <w:r w:rsidR="00E04A11" w:rsidRPr="00D57D3F">
        <w:rPr>
          <w:i/>
        </w:rPr>
        <w:t> </w:t>
      </w:r>
      <w:r w:rsidR="00FC6ABC" w:rsidRPr="00D57D3F">
        <w:rPr>
          <w:i/>
        </w:rPr>
        <w:t>ohlašovacích povinností obcí</w:t>
      </w:r>
      <w:r w:rsidR="00FC6ABC" w:rsidRPr="00D57D3F">
        <w:t xml:space="preserve">, </w:t>
      </w:r>
      <w:r w:rsidR="00FC6ABC" w:rsidRPr="00D57D3F">
        <w:rPr>
          <w:i/>
        </w:rPr>
        <w:t>Metodický návod pro plnění povinnosti ohlašování přepravy nebezpečných odpadů</w:t>
      </w:r>
      <w:r w:rsidRPr="00D57D3F">
        <w:rPr>
          <w:bCs/>
        </w:rPr>
        <w:t xml:space="preserve"> a další. Pokyny jsou zveřejňovány na webových stránkách MŽP. </w:t>
      </w:r>
    </w:p>
    <w:p w:rsidR="00571C56" w:rsidRPr="00D57D3F" w:rsidRDefault="008C12E6" w:rsidP="00AF6B16">
      <w:pPr>
        <w:spacing w:after="120" w:line="276" w:lineRule="auto"/>
        <w:rPr>
          <w:bCs/>
        </w:rPr>
      </w:pPr>
      <w:r w:rsidRPr="00D57D3F">
        <w:rPr>
          <w:rFonts w:cs="Arial"/>
          <w:lang w:eastAsia="cs-CZ"/>
        </w:rPr>
        <w:t>Nov</w:t>
      </w:r>
      <w:r w:rsidRPr="00D57D3F">
        <w:rPr>
          <w:rFonts w:cs="Arial"/>
          <w:lang w:eastAsia="cs-CZ"/>
        </w:rPr>
        <w:t>ě přijatá legislativa v roce 2020 a metodické vedení v období 2019-2020 přisp</w:t>
      </w:r>
      <w:r w:rsidR="007D22FD" w:rsidRPr="00D57D3F">
        <w:rPr>
          <w:rFonts w:cs="Arial"/>
          <w:lang w:eastAsia="cs-CZ"/>
        </w:rPr>
        <w:t>ěly</w:t>
      </w:r>
      <w:r w:rsidR="00FC6ABC" w:rsidRPr="00D57D3F">
        <w:rPr>
          <w:rFonts w:cs="Arial"/>
          <w:lang w:eastAsia="cs-CZ"/>
        </w:rPr>
        <w:t xml:space="preserve"> ke </w:t>
      </w:r>
      <w:r w:rsidRPr="00D57D3F">
        <w:rPr>
          <w:rFonts w:cs="Arial"/>
          <w:lang w:eastAsia="cs-CZ"/>
        </w:rPr>
        <w:t xml:space="preserve">správné praxi nakládání s odpady a </w:t>
      </w:r>
      <w:r w:rsidRPr="00D57D3F">
        <w:rPr>
          <w:bCs/>
        </w:rPr>
        <w:t>omezení negativního vlivu nebezpečných odpadů na životní prostředí a lidské zdraví.</w:t>
      </w:r>
      <w:r w:rsidR="00026D22" w:rsidRPr="00D57D3F">
        <w:rPr>
          <w:bCs/>
        </w:rPr>
        <w:t xml:space="preserve"> Oblast nakládání s nebezpečnými odpady je </w:t>
      </w:r>
      <w:r w:rsidR="002C7764" w:rsidRPr="00D57D3F">
        <w:rPr>
          <w:bCs/>
        </w:rPr>
        <w:t xml:space="preserve">odpovídajícím způsobem </w:t>
      </w:r>
      <w:r w:rsidR="00026D22" w:rsidRPr="00D57D3F">
        <w:rPr>
          <w:bCs/>
        </w:rPr>
        <w:t>legislativně pokryta.</w:t>
      </w:r>
      <w:r w:rsidR="007D22FD" w:rsidRPr="00D57D3F">
        <w:rPr>
          <w:bCs/>
        </w:rPr>
        <w:t xml:space="preserve"> Došlo ke zdůraznění zákazu mísení nebezpečných odpadů. Byl silně zvýšen důraz na skladování nebezpečných odpadů v povolených zařízeních.  </w:t>
      </w:r>
    </w:p>
    <w:p w:rsidR="007D22FD" w:rsidRPr="00D57D3F" w:rsidRDefault="008C12E6" w:rsidP="007D22FD">
      <w:pPr>
        <w:spacing w:after="120" w:line="276" w:lineRule="auto"/>
      </w:pPr>
      <w:r w:rsidRPr="00D57D3F">
        <w:t>V letech 201</w:t>
      </w:r>
      <w:r w:rsidR="00EF1EC3" w:rsidRPr="00D57D3F">
        <w:t>9</w:t>
      </w:r>
      <w:r w:rsidRPr="00D57D3F">
        <w:t>-</w:t>
      </w:r>
      <w:r w:rsidR="00EF1EC3" w:rsidRPr="00D57D3F">
        <w:t>2020</w:t>
      </w:r>
      <w:r w:rsidRPr="00D57D3F">
        <w:t xml:space="preserve"> byla </w:t>
      </w:r>
      <w:r w:rsidR="00FF032D" w:rsidRPr="00D57D3F">
        <w:t xml:space="preserve">věnována zvýšená pozornost </w:t>
      </w:r>
      <w:r w:rsidRPr="00D57D3F">
        <w:t>prosazován</w:t>
      </w:r>
      <w:r w:rsidR="00FF032D" w:rsidRPr="00D57D3F">
        <w:t>í</w:t>
      </w:r>
      <w:r w:rsidRPr="00D57D3F">
        <w:t xml:space="preserve"> hierarchie nakládání</w:t>
      </w:r>
      <w:r w:rsidRPr="00D57D3F">
        <w:t xml:space="preserve"> s komunálními odpady a </w:t>
      </w:r>
      <w:r w:rsidR="00EF1EC3" w:rsidRPr="00D57D3F">
        <w:t xml:space="preserve">přípravě nové legislativy. </w:t>
      </w:r>
      <w:r w:rsidR="00FC6ABC" w:rsidRPr="00D57D3F">
        <w:t>Svazy, o</w:t>
      </w:r>
      <w:r w:rsidRPr="00D57D3F">
        <w:t xml:space="preserve">bce, občané i podniky </w:t>
      </w:r>
      <w:r w:rsidR="005C6E52" w:rsidRPr="00D57D3F">
        <w:t xml:space="preserve">byli informováni </w:t>
      </w:r>
      <w:r w:rsidRPr="00D57D3F">
        <w:t xml:space="preserve">o správném nakládání s komunálními odpady např. prostřednictvím konzultací, přednášek a webových stránek MŽP. </w:t>
      </w:r>
    </w:p>
    <w:p w:rsidR="00AF6B16" w:rsidRPr="00D57D3F" w:rsidRDefault="008C12E6" w:rsidP="00AF6B16">
      <w:pPr>
        <w:spacing w:after="240" w:line="276" w:lineRule="auto"/>
      </w:pPr>
      <w:r w:rsidRPr="00D57D3F">
        <w:t>MŽP metodicky ved</w:t>
      </w:r>
      <w:r w:rsidR="007D22FD" w:rsidRPr="00D57D3F">
        <w:t>lo</w:t>
      </w:r>
      <w:r w:rsidRPr="00D57D3F">
        <w:t xml:space="preserve"> původce odpadů, provozovatele zařízení k nakládání s odpady a orgány státní správy. </w:t>
      </w:r>
    </w:p>
    <w:p w:rsidR="00794660" w:rsidRPr="00D57D3F" w:rsidRDefault="008C12E6" w:rsidP="00571C56">
      <w:pPr>
        <w:spacing w:after="120" w:line="276" w:lineRule="auto"/>
        <w:rPr>
          <w:b/>
          <w:bCs/>
        </w:rPr>
      </w:pPr>
      <w:r w:rsidRPr="00D57D3F">
        <w:rPr>
          <w:b/>
          <w:bCs/>
        </w:rPr>
        <w:t>Systém evidence přepravy nebezpečných odpadů</w:t>
      </w:r>
    </w:p>
    <w:p w:rsidR="00794660" w:rsidRPr="00D57D3F" w:rsidRDefault="008C12E6" w:rsidP="008539CF">
      <w:pPr>
        <w:spacing w:after="240" w:line="276" w:lineRule="auto"/>
        <w:rPr>
          <w:bCs/>
        </w:rPr>
      </w:pPr>
      <w:r w:rsidRPr="00D57D3F">
        <w:rPr>
          <w:bCs/>
        </w:rPr>
        <w:t>Od 2. května 2018 je plně funkční e</w:t>
      </w:r>
      <w:r w:rsidR="008E7A0C" w:rsidRPr="00D57D3F">
        <w:rPr>
          <w:bCs/>
        </w:rPr>
        <w:t>lektronický Systém evidence přepravy nebezpečných odpadů (</w:t>
      </w:r>
      <w:r w:rsidR="005F6EC8" w:rsidRPr="00D57D3F">
        <w:rPr>
          <w:bCs/>
        </w:rPr>
        <w:t>„</w:t>
      </w:r>
      <w:r w:rsidR="008E7A0C" w:rsidRPr="00D57D3F">
        <w:rPr>
          <w:bCs/>
        </w:rPr>
        <w:t>SEPNO</w:t>
      </w:r>
      <w:r w:rsidR="005F6EC8" w:rsidRPr="00D57D3F">
        <w:rPr>
          <w:bCs/>
        </w:rPr>
        <w:t>“</w:t>
      </w:r>
      <w:r w:rsidR="008E7A0C" w:rsidRPr="00D57D3F">
        <w:rPr>
          <w:bCs/>
        </w:rPr>
        <w:t>)</w:t>
      </w:r>
      <w:r w:rsidRPr="00D57D3F">
        <w:rPr>
          <w:bCs/>
        </w:rPr>
        <w:t>.</w:t>
      </w:r>
      <w:r w:rsidR="006F14CD" w:rsidRPr="00D57D3F">
        <w:rPr>
          <w:bCs/>
        </w:rPr>
        <w:t xml:space="preserve"> </w:t>
      </w:r>
      <w:r w:rsidR="008E7A0C" w:rsidRPr="00D57D3F">
        <w:rPr>
          <w:bCs/>
        </w:rPr>
        <w:t xml:space="preserve">Tato </w:t>
      </w:r>
      <w:r w:rsidR="00E04A11" w:rsidRPr="00D57D3F">
        <w:rPr>
          <w:bCs/>
        </w:rPr>
        <w:t xml:space="preserve">velmi vytížená </w:t>
      </w:r>
      <w:r w:rsidR="008E7A0C" w:rsidRPr="00D57D3F">
        <w:rPr>
          <w:bCs/>
        </w:rPr>
        <w:t xml:space="preserve">on-line aplikace </w:t>
      </w:r>
      <w:r w:rsidR="006F14CD" w:rsidRPr="00D57D3F">
        <w:rPr>
          <w:bCs/>
        </w:rPr>
        <w:t xml:space="preserve">(ročně cca 600 tisíc záznamů) </w:t>
      </w:r>
      <w:r w:rsidR="008E7A0C" w:rsidRPr="00D57D3F">
        <w:rPr>
          <w:bCs/>
        </w:rPr>
        <w:t>umožňuje povinným osobám ohlásit přepravu nebezpečných odpadů po území ČR před tím</w:t>
      </w:r>
      <w:r w:rsidR="008B70F5" w:rsidRPr="00D57D3F">
        <w:rPr>
          <w:bCs/>
        </w:rPr>
        <w:t>,</w:t>
      </w:r>
      <w:r w:rsidR="008E7A0C" w:rsidRPr="00D57D3F">
        <w:rPr>
          <w:bCs/>
        </w:rPr>
        <w:t xml:space="preserve"> než je reálně uskutečněna. </w:t>
      </w:r>
      <w:r w:rsidR="00FC6ABC" w:rsidRPr="00D57D3F">
        <w:rPr>
          <w:bCs/>
        </w:rPr>
        <w:t>Systém se plně osvědčil a významně přispěl k přehledu o</w:t>
      </w:r>
      <w:r w:rsidR="00E04A11" w:rsidRPr="00D57D3F">
        <w:rPr>
          <w:bCs/>
        </w:rPr>
        <w:t> </w:t>
      </w:r>
      <w:r w:rsidR="00FC6ABC" w:rsidRPr="00D57D3F">
        <w:rPr>
          <w:bCs/>
        </w:rPr>
        <w:t>tocích nebezpečných odpadů. Došlo k v</w:t>
      </w:r>
      <w:r w:rsidR="008E7A0C" w:rsidRPr="00D57D3F">
        <w:rPr>
          <w:bCs/>
        </w:rPr>
        <w:t xml:space="preserve">ýznamnému </w:t>
      </w:r>
      <w:r w:rsidR="00E04A11" w:rsidRPr="00D57D3F">
        <w:rPr>
          <w:bCs/>
        </w:rPr>
        <w:t>zvýšení sledovatelnosti nebezpečných odpadů a</w:t>
      </w:r>
      <w:r w:rsidR="008B70F5" w:rsidRPr="00D57D3F">
        <w:rPr>
          <w:bCs/>
        </w:rPr>
        <w:t> </w:t>
      </w:r>
      <w:r w:rsidR="008E7A0C" w:rsidRPr="00D57D3F">
        <w:rPr>
          <w:bCs/>
        </w:rPr>
        <w:t xml:space="preserve">omezení </w:t>
      </w:r>
      <w:r w:rsidR="00E04A11" w:rsidRPr="00D57D3F">
        <w:rPr>
          <w:bCs/>
        </w:rPr>
        <w:t xml:space="preserve">jejich </w:t>
      </w:r>
      <w:r w:rsidR="008E7A0C" w:rsidRPr="00D57D3F">
        <w:rPr>
          <w:bCs/>
        </w:rPr>
        <w:t>rizik a negativních vlivů na lidské zdraví a životní prostředí. Zvyšuje se efektivita procesu kontroly</w:t>
      </w:r>
      <w:r w:rsidR="00FC6ABC" w:rsidRPr="00D57D3F">
        <w:rPr>
          <w:bCs/>
        </w:rPr>
        <w:t xml:space="preserve">. </w:t>
      </w:r>
      <w:r w:rsidRPr="00D57D3F">
        <w:rPr>
          <w:bCs/>
        </w:rPr>
        <w:t xml:space="preserve"> </w:t>
      </w:r>
    </w:p>
    <w:p w:rsidR="00794660" w:rsidRPr="00D57D3F" w:rsidRDefault="008C12E6" w:rsidP="008E7A0C">
      <w:pPr>
        <w:spacing w:after="120" w:line="276" w:lineRule="auto"/>
        <w:rPr>
          <w:b/>
          <w:bCs/>
        </w:rPr>
      </w:pPr>
      <w:r w:rsidRPr="00D57D3F">
        <w:rPr>
          <w:b/>
          <w:bCs/>
        </w:rPr>
        <w:t>Registr zařízení</w:t>
      </w:r>
    </w:p>
    <w:p w:rsidR="008E7A0C" w:rsidRPr="00D57D3F" w:rsidRDefault="008C12E6" w:rsidP="008539CF">
      <w:pPr>
        <w:spacing w:after="240" w:line="276" w:lineRule="auto"/>
        <w:rPr>
          <w:bCs/>
        </w:rPr>
      </w:pPr>
      <w:r w:rsidRPr="00D57D3F">
        <w:rPr>
          <w:bCs/>
        </w:rPr>
        <w:t xml:space="preserve">V letech </w:t>
      </w:r>
      <w:r w:rsidR="000B46D9" w:rsidRPr="00D57D3F">
        <w:rPr>
          <w:bCs/>
        </w:rPr>
        <w:t>2019–2020</w:t>
      </w:r>
      <w:r w:rsidRPr="00D57D3F">
        <w:rPr>
          <w:bCs/>
        </w:rPr>
        <w:t xml:space="preserve"> se v praxi velmi využíval a osvědčil Registr zař</w:t>
      </w:r>
      <w:r w:rsidRPr="00D57D3F">
        <w:rPr>
          <w:bCs/>
        </w:rPr>
        <w:t>ízení – část Informačního sytému odpadového hospodářství</w:t>
      </w:r>
      <w:r w:rsidR="007D22FD" w:rsidRPr="00D57D3F">
        <w:rPr>
          <w:bCs/>
        </w:rPr>
        <w:t xml:space="preserve"> („ISOH“)</w:t>
      </w:r>
      <w:r w:rsidR="00FC6ABC" w:rsidRPr="00D57D3F">
        <w:rPr>
          <w:bCs/>
        </w:rPr>
        <w:t>.</w:t>
      </w:r>
      <w:r w:rsidRPr="00D57D3F">
        <w:rPr>
          <w:bCs/>
        </w:rPr>
        <w:t xml:space="preserve"> MŽP v Registru zařízení zveřejňuje aktuální seznam provozovaných zařízení k nakládání s odpady na celém území ČR. Nadále probíhá zlepšování tohoto systému a bude návazně pokračovat po přije</w:t>
      </w:r>
      <w:r w:rsidRPr="00D57D3F">
        <w:rPr>
          <w:bCs/>
        </w:rPr>
        <w:t>tí nové odpadové legislativy.</w:t>
      </w:r>
    </w:p>
    <w:p w:rsidR="00794660" w:rsidRPr="00D57D3F" w:rsidRDefault="008C12E6" w:rsidP="008E7A0C">
      <w:pPr>
        <w:spacing w:after="120" w:line="276" w:lineRule="auto"/>
        <w:rPr>
          <w:b/>
          <w:bCs/>
        </w:rPr>
      </w:pPr>
      <w:r w:rsidRPr="00D57D3F">
        <w:rPr>
          <w:b/>
          <w:bCs/>
        </w:rPr>
        <w:t>Kontrolní činnost České inspekce životního prostředí</w:t>
      </w:r>
    </w:p>
    <w:p w:rsidR="00B66D05" w:rsidRPr="00D57D3F" w:rsidRDefault="008C12E6" w:rsidP="00B66D05">
      <w:pPr>
        <w:spacing w:after="120" w:line="276" w:lineRule="auto"/>
      </w:pPr>
      <w:r w:rsidRPr="00D57D3F">
        <w:t>Povinnosti původců odpadů, správné nakládání s odpady a podmínky provozování zařízení k nakládání s odpady, jsou pravidelně kontrolovány ze strany České inspekce životního p</w:t>
      </w:r>
      <w:r w:rsidRPr="00D57D3F">
        <w:t>rostředí (ČIŽP). Podle výroční zprávy ČIŽP v roce 2019 bylo inspektory oddělení odpadového hospodářství v oblasti odpadového hospodářství, obalů a chemických látek provedeno celkem 3 495 kontrol, přičemž bylo 1 323 plánovaných a 2 172 kontrol neplánovaných</w:t>
      </w:r>
      <w:r w:rsidRPr="00D57D3F">
        <w:t>, z toho 826 kontrol bylo provedeno na základě přijatého podnětu. Celková výše uložených pokut v roce 2019 činila 47 549,0 tis. Kč, tedy o 3952,5 tis. Kč více v porovnání s předchozím rokem.</w:t>
      </w:r>
    </w:p>
    <w:p w:rsidR="00B66D05" w:rsidRDefault="008C12E6" w:rsidP="00B66D05">
      <w:pPr>
        <w:spacing w:after="120" w:line="276" w:lineRule="auto"/>
      </w:pPr>
      <w:r w:rsidRPr="00D57D3F">
        <w:lastRenderedPageBreak/>
        <w:t>V roce 2020 byla situace a možnost kontrol subjektů silně komplik</w:t>
      </w:r>
      <w:r w:rsidRPr="00D57D3F">
        <w:t xml:space="preserve">ována probíhající </w:t>
      </w:r>
      <w:proofErr w:type="spellStart"/>
      <w:r w:rsidRPr="00D57D3F">
        <w:t>koronavirovou</w:t>
      </w:r>
      <w:proofErr w:type="spellEnd"/>
      <w:r w:rsidRPr="00D57D3F">
        <w:t xml:space="preserve"> pandemií. Inspektory oddělení odpadového hospodářství bylo v oblasti odpadového hospodářství, obalů a chemických látek provedeno celkem 2 749 kontrol, přičemž bylo 1 149 plánovaných a 1 600 kontrol neplánovaných, z toho 767 </w:t>
      </w:r>
      <w:r w:rsidRPr="00D57D3F">
        <w:t>kontrol bylo provedeno na základě přijatého podnětu. Celková výše uložených pokut v roce 2019 činila 40</w:t>
      </w:r>
      <w:r w:rsidR="000B46D9">
        <w:t> </w:t>
      </w:r>
      <w:r w:rsidRPr="00D57D3F">
        <w:t>602 tis. Kč, tedy o 6 947 tis. Kč méně v porovnání s předchozím rokem. (zdroj: Výroční zprávy ČIŽP)</w:t>
      </w:r>
    </w:p>
    <w:p w:rsidR="00AD0EEA" w:rsidRDefault="00AD0EEA" w:rsidP="00B66D05">
      <w:pPr>
        <w:spacing w:after="120" w:line="276" w:lineRule="auto"/>
      </w:pPr>
    </w:p>
    <w:p w:rsidR="00057B7F" w:rsidRPr="00D57D3F" w:rsidRDefault="008C12E6" w:rsidP="006B789C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 xml:space="preserve">Prioritní odpadové toky </w:t>
      </w:r>
    </w:p>
    <w:p w:rsidR="007C5BC2" w:rsidRPr="00D57D3F" w:rsidRDefault="008C12E6" w:rsidP="006B789C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 xml:space="preserve">Komunální odpady </w:t>
      </w:r>
    </w:p>
    <w:p w:rsidR="00B13113" w:rsidRPr="00D57D3F" w:rsidRDefault="008C12E6" w:rsidP="006746B7">
      <w:pPr>
        <w:spacing w:after="120" w:line="276" w:lineRule="auto"/>
      </w:pPr>
      <w:r w:rsidRPr="00D57D3F">
        <w:rPr>
          <w:b/>
        </w:rPr>
        <w:t xml:space="preserve">Celková </w:t>
      </w:r>
      <w:r w:rsidRPr="00D57D3F">
        <w:rPr>
          <w:b/>
        </w:rPr>
        <w:t>produkce komunálních odpadů</w:t>
      </w:r>
      <w:r w:rsidRPr="00D57D3F">
        <w:t xml:space="preserve"> mezi lety 201</w:t>
      </w:r>
      <w:r w:rsidR="007A1A54" w:rsidRPr="00D57D3F">
        <w:t>9</w:t>
      </w:r>
      <w:r w:rsidR="00F325B7" w:rsidRPr="00D57D3F">
        <w:t>-</w:t>
      </w:r>
      <w:r w:rsidRPr="00D57D3F">
        <w:t>20</w:t>
      </w:r>
      <w:r w:rsidR="007A1A54" w:rsidRPr="00D57D3F">
        <w:t>20</w:t>
      </w:r>
      <w:r w:rsidRPr="00D57D3F">
        <w:t xml:space="preserve"> </w:t>
      </w:r>
      <w:r w:rsidR="004A49D7" w:rsidRPr="00D57D3F">
        <w:t xml:space="preserve">mírně </w:t>
      </w:r>
      <w:r w:rsidR="007A1A54" w:rsidRPr="00D57D3F">
        <w:t xml:space="preserve">klesla </w:t>
      </w:r>
      <w:r w:rsidRPr="00D57D3F">
        <w:t xml:space="preserve">o </w:t>
      </w:r>
      <w:r w:rsidR="007A1A54" w:rsidRPr="00D57D3F">
        <w:t>2</w:t>
      </w:r>
      <w:r w:rsidRPr="00D57D3F">
        <w:t>,</w:t>
      </w:r>
      <w:r w:rsidR="007A1A54" w:rsidRPr="00D57D3F">
        <w:t>5</w:t>
      </w:r>
      <w:r w:rsidRPr="00D57D3F">
        <w:t xml:space="preserve"> %</w:t>
      </w:r>
      <w:r w:rsidR="001C7027" w:rsidRPr="00D57D3F">
        <w:t xml:space="preserve"> tj.</w:t>
      </w:r>
      <w:r w:rsidR="00E924E7" w:rsidRPr="00D57D3F">
        <w:t> </w:t>
      </w:r>
      <w:r w:rsidR="007A1A54" w:rsidRPr="00D57D3F">
        <w:t>149,3</w:t>
      </w:r>
      <w:r w:rsidR="001C7027" w:rsidRPr="00D57D3F">
        <w:t> tis.</w:t>
      </w:r>
      <w:r w:rsidR="00F803B4" w:rsidRPr="00D57D3F">
        <w:t xml:space="preserve"> </w:t>
      </w:r>
      <w:r w:rsidR="001C7027" w:rsidRPr="00D57D3F">
        <w:t>t</w:t>
      </w:r>
      <w:r w:rsidRPr="00D57D3F">
        <w:t xml:space="preserve"> na hodnotu 5</w:t>
      </w:r>
      <w:r w:rsidR="007A1A54" w:rsidRPr="00D57D3F">
        <w:t> </w:t>
      </w:r>
      <w:r w:rsidR="00221EEA" w:rsidRPr="00D57D3F">
        <w:t>7</w:t>
      </w:r>
      <w:r w:rsidR="007A1A54" w:rsidRPr="00D57D3F">
        <w:t>29,9</w:t>
      </w:r>
      <w:r w:rsidRPr="00D57D3F">
        <w:t xml:space="preserve"> tis. t</w:t>
      </w:r>
      <w:r w:rsidR="00CF69F3" w:rsidRPr="00D57D3F">
        <w:t xml:space="preserve"> v roce 20</w:t>
      </w:r>
      <w:r w:rsidR="007A1A54" w:rsidRPr="00D57D3F">
        <w:t>20</w:t>
      </w:r>
      <w:r w:rsidR="00F325B7" w:rsidRPr="00D57D3F">
        <w:t xml:space="preserve">, </w:t>
      </w:r>
      <w:r w:rsidR="00CF69F3" w:rsidRPr="00D57D3F">
        <w:t>v roce 201</w:t>
      </w:r>
      <w:r w:rsidR="007A1A54" w:rsidRPr="00D57D3F">
        <w:t>9</w:t>
      </w:r>
      <w:r w:rsidR="00F325B7" w:rsidRPr="00D57D3F">
        <w:t xml:space="preserve"> byla 5 </w:t>
      </w:r>
      <w:r w:rsidR="007A1A54" w:rsidRPr="00D57D3F">
        <w:t>879</w:t>
      </w:r>
      <w:r w:rsidR="00F325B7" w:rsidRPr="00D57D3F">
        <w:t>,</w:t>
      </w:r>
      <w:r w:rsidR="007A1A54" w:rsidRPr="00D57D3F">
        <w:t>2</w:t>
      </w:r>
      <w:r w:rsidR="00F325B7" w:rsidRPr="00D57D3F">
        <w:t xml:space="preserve"> tis. t.</w:t>
      </w:r>
      <w:r w:rsidR="00CF69F3" w:rsidRPr="00D57D3F">
        <w:t xml:space="preserve"> </w:t>
      </w:r>
      <w:r w:rsidRPr="00D57D3F">
        <w:t xml:space="preserve">(Graf </w:t>
      </w:r>
      <w:r w:rsidR="00BC222E">
        <w:t>3</w:t>
      </w:r>
      <w:r w:rsidRPr="00D57D3F">
        <w:t xml:space="preserve">). </w:t>
      </w:r>
      <w:r w:rsidR="007A1A54" w:rsidRPr="00D57D3F">
        <w:t xml:space="preserve">Střednědobě se produkce komunálních odpadů zvyšuje. </w:t>
      </w:r>
      <w:r w:rsidRPr="00D57D3F">
        <w:t>V roce 20</w:t>
      </w:r>
      <w:r w:rsidR="007A1A54" w:rsidRPr="00D57D3F">
        <w:t>20</w:t>
      </w:r>
      <w:r w:rsidRPr="00D57D3F">
        <w:t xml:space="preserve"> činila produkce komunáln</w:t>
      </w:r>
      <w:r w:rsidRPr="00D57D3F">
        <w:t>ích odpadů v přepočtu na obyvatele 5</w:t>
      </w:r>
      <w:r w:rsidR="007A1A54" w:rsidRPr="00D57D3F">
        <w:t>35,5</w:t>
      </w:r>
      <w:r w:rsidRPr="00D57D3F">
        <w:t xml:space="preserve"> kg.obyv.</w:t>
      </w:r>
      <w:r w:rsidRPr="00D57D3F">
        <w:rPr>
          <w:vertAlign w:val="superscript"/>
        </w:rPr>
        <w:t>-1</w:t>
      </w:r>
      <w:r w:rsidRPr="00D57D3F">
        <w:t>.</w:t>
      </w:r>
      <w:r w:rsidR="00034128" w:rsidRPr="00D57D3F">
        <w:t>, v roce 201</w:t>
      </w:r>
      <w:r w:rsidR="007A1A54" w:rsidRPr="00D57D3F">
        <w:t>9</w:t>
      </w:r>
      <w:r w:rsidR="00034128" w:rsidRPr="00D57D3F">
        <w:t xml:space="preserve"> to bylo </w:t>
      </w:r>
      <w:r w:rsidR="00117B39" w:rsidRPr="00D57D3F">
        <w:t>5</w:t>
      </w:r>
      <w:r w:rsidR="007A1A54" w:rsidRPr="00D57D3F">
        <w:t>51</w:t>
      </w:r>
      <w:r w:rsidR="00F325B7" w:rsidRPr="00D57D3F">
        <w:t> </w:t>
      </w:r>
      <w:r w:rsidR="00034128" w:rsidRPr="00D57D3F">
        <w:t>kg.obyv.</w:t>
      </w:r>
      <w:r w:rsidR="00034128" w:rsidRPr="00D57D3F">
        <w:rPr>
          <w:vertAlign w:val="superscript"/>
        </w:rPr>
        <w:t>-1</w:t>
      </w:r>
      <w:r w:rsidR="00034128" w:rsidRPr="00D57D3F">
        <w:t>.</w:t>
      </w:r>
      <w:r w:rsidR="009B440B" w:rsidRPr="00D57D3F">
        <w:t xml:space="preserve"> </w:t>
      </w:r>
      <w:r w:rsidR="00D5326B" w:rsidRPr="00D57D3F">
        <w:t xml:space="preserve">Produkce komunálních odpadů na obyvatele </w:t>
      </w:r>
      <w:r w:rsidR="007A1A54" w:rsidRPr="00D57D3F">
        <w:t>poklesla</w:t>
      </w:r>
      <w:r w:rsidR="00D5326B" w:rsidRPr="00D57D3F">
        <w:t xml:space="preserve"> o</w:t>
      </w:r>
      <w:r w:rsidR="00E924E7" w:rsidRPr="00D57D3F">
        <w:t> </w:t>
      </w:r>
      <w:r w:rsidR="007A1A54" w:rsidRPr="00D57D3F">
        <w:t>15,5</w:t>
      </w:r>
      <w:r w:rsidR="00D5326B" w:rsidRPr="00D57D3F">
        <w:t xml:space="preserve"> kg.obyv.</w:t>
      </w:r>
      <w:r w:rsidR="00D5326B" w:rsidRPr="00D57D3F">
        <w:rPr>
          <w:vertAlign w:val="superscript"/>
        </w:rPr>
        <w:t>-</w:t>
      </w:r>
      <w:proofErr w:type="gramStart"/>
      <w:r w:rsidR="00D5326B" w:rsidRPr="00D57D3F">
        <w:rPr>
          <w:vertAlign w:val="superscript"/>
        </w:rPr>
        <w:t xml:space="preserve">1 </w:t>
      </w:r>
      <w:r w:rsidR="00D5326B" w:rsidRPr="00D57D3F">
        <w:t>.</w:t>
      </w:r>
      <w:proofErr w:type="gramEnd"/>
      <w:r w:rsidR="00D5326B" w:rsidRPr="00D57D3F">
        <w:t xml:space="preserve"> </w:t>
      </w:r>
      <w:r w:rsidR="007A1A54" w:rsidRPr="00D57D3F">
        <w:t xml:space="preserve">Tento pokles může indikovat otočení dosavadního trendu </w:t>
      </w:r>
      <w:r w:rsidR="00D5326B" w:rsidRPr="00D57D3F">
        <w:t xml:space="preserve">nárůstu měrné produkce komunálních odpadů. </w:t>
      </w:r>
      <w:r w:rsidR="007A1A54" w:rsidRPr="00D57D3F">
        <w:t xml:space="preserve">Střednědobý nárůst produkce </w:t>
      </w:r>
      <w:r w:rsidR="006A259D" w:rsidRPr="00D57D3F">
        <w:t xml:space="preserve">je způsoben </w:t>
      </w:r>
      <w:r w:rsidR="003F7399" w:rsidRPr="00D57D3F">
        <w:t>zejména</w:t>
      </w:r>
      <w:r w:rsidR="006A259D" w:rsidRPr="00D57D3F">
        <w:t xml:space="preserve"> zvyšující se produkcí </w:t>
      </w:r>
      <w:r w:rsidR="00C61814" w:rsidRPr="00D57D3F">
        <w:t xml:space="preserve">biologicky rozložitelných komunálních odpadů díky intenzifikaci jejich sběru v obcích.  </w:t>
      </w:r>
      <w:r w:rsidRPr="00D57D3F">
        <w:t xml:space="preserve">Pozitivní je </w:t>
      </w:r>
      <w:r w:rsidR="007A1A54" w:rsidRPr="00D57D3F">
        <w:t xml:space="preserve">opětovné </w:t>
      </w:r>
      <w:r w:rsidRPr="00D57D3F">
        <w:t>meziroční snížení podílu produkce</w:t>
      </w:r>
      <w:r w:rsidRPr="00D57D3F">
        <w:t xml:space="preserve"> komunálních odpadů na celkovém množství vyprodukovaných odpadů, v roce 201</w:t>
      </w:r>
      <w:r w:rsidR="007A1A54" w:rsidRPr="00D57D3F">
        <w:t>9</w:t>
      </w:r>
      <w:r w:rsidRPr="00D57D3F">
        <w:t xml:space="preserve"> dosahoval 1</w:t>
      </w:r>
      <w:r w:rsidR="007A1A54" w:rsidRPr="00D57D3F">
        <w:t>5</w:t>
      </w:r>
      <w:r w:rsidRPr="00D57D3F">
        <w:t>,</w:t>
      </w:r>
      <w:r w:rsidR="007A1A54" w:rsidRPr="00D57D3F">
        <w:t>7</w:t>
      </w:r>
      <w:r w:rsidRPr="00D57D3F">
        <w:t xml:space="preserve"> % a v roce 20</w:t>
      </w:r>
      <w:r w:rsidR="007A1A54" w:rsidRPr="00D57D3F">
        <w:t>20</w:t>
      </w:r>
      <w:r w:rsidRPr="00D57D3F">
        <w:t xml:space="preserve"> poklesl na 1</w:t>
      </w:r>
      <w:r w:rsidR="007A1A54" w:rsidRPr="00D57D3F">
        <w:t>4,9</w:t>
      </w:r>
      <w:r w:rsidRPr="00D57D3F">
        <w:t xml:space="preserve"> %.</w:t>
      </w:r>
    </w:p>
    <w:p w:rsidR="00EE2E7A" w:rsidRPr="00D57D3F" w:rsidRDefault="008C12E6" w:rsidP="006746B7">
      <w:pPr>
        <w:spacing w:after="120" w:line="276" w:lineRule="auto"/>
      </w:pPr>
      <w:r w:rsidRPr="00D57D3F">
        <w:t>P</w:t>
      </w:r>
      <w:r w:rsidR="00FD5999" w:rsidRPr="00D57D3F">
        <w:t xml:space="preserve">rodukce </w:t>
      </w:r>
      <w:r w:rsidR="00FD5999" w:rsidRPr="00D57D3F">
        <w:rPr>
          <w:b/>
        </w:rPr>
        <w:t>směsného komunálního odpadu</w:t>
      </w:r>
      <w:r w:rsidR="00FD5999" w:rsidRPr="00D57D3F">
        <w:t xml:space="preserve"> </w:t>
      </w:r>
      <w:r w:rsidR="00FD5999" w:rsidRPr="00D57D3F">
        <w:rPr>
          <w:b/>
        </w:rPr>
        <w:t>v roce 20</w:t>
      </w:r>
      <w:r w:rsidRPr="00D57D3F">
        <w:rPr>
          <w:b/>
        </w:rPr>
        <w:t>20</w:t>
      </w:r>
      <w:r w:rsidR="00B33C33" w:rsidRPr="00D57D3F">
        <w:t xml:space="preserve"> </w:t>
      </w:r>
      <w:r w:rsidR="00C6794F" w:rsidRPr="00D57D3F">
        <w:t xml:space="preserve">spíše </w:t>
      </w:r>
      <w:r w:rsidR="00B33C33" w:rsidRPr="00D57D3F">
        <w:t xml:space="preserve">stagnovala, </w:t>
      </w:r>
      <w:r w:rsidR="00FD5999" w:rsidRPr="00D57D3F">
        <w:t xml:space="preserve">meziročně </w:t>
      </w:r>
      <w:r w:rsidR="00B33C33" w:rsidRPr="00D57D3F">
        <w:t xml:space="preserve">jen </w:t>
      </w:r>
      <w:r w:rsidR="00E924E7" w:rsidRPr="00D57D3F">
        <w:t>mírně</w:t>
      </w:r>
      <w:r w:rsidR="00B33C33" w:rsidRPr="00D57D3F">
        <w:t xml:space="preserve"> </w:t>
      </w:r>
      <w:r w:rsidRPr="00D57D3F">
        <w:t xml:space="preserve">poklesla </w:t>
      </w:r>
      <w:r w:rsidR="00FD5999" w:rsidRPr="00D57D3F">
        <w:t>o</w:t>
      </w:r>
      <w:r w:rsidR="00B33C33" w:rsidRPr="00D57D3F">
        <w:t> </w:t>
      </w:r>
      <w:r w:rsidR="00FD5999" w:rsidRPr="00D57D3F">
        <w:t>0,</w:t>
      </w:r>
      <w:r w:rsidRPr="00D57D3F">
        <w:t>3</w:t>
      </w:r>
      <w:r w:rsidR="00FD5999" w:rsidRPr="00D57D3F">
        <w:t xml:space="preserve"> % </w:t>
      </w:r>
      <w:r w:rsidR="00E924E7" w:rsidRPr="00D57D3F">
        <w:t xml:space="preserve">tj. o </w:t>
      </w:r>
      <w:r w:rsidRPr="00D57D3F">
        <w:t xml:space="preserve">7 </w:t>
      </w:r>
      <w:r w:rsidR="00E924E7" w:rsidRPr="00D57D3F">
        <w:t xml:space="preserve">tis. t </w:t>
      </w:r>
      <w:r w:rsidR="00FD5999" w:rsidRPr="00D57D3F">
        <w:rPr>
          <w:b/>
        </w:rPr>
        <w:t>na celkových 2</w:t>
      </w:r>
      <w:r w:rsidRPr="00D57D3F">
        <w:rPr>
          <w:b/>
        </w:rPr>
        <w:t> 780,3</w:t>
      </w:r>
      <w:r w:rsidR="00FD5999" w:rsidRPr="00D57D3F">
        <w:rPr>
          <w:b/>
        </w:rPr>
        <w:t xml:space="preserve"> tis. t</w:t>
      </w:r>
      <w:r w:rsidR="00F325B7" w:rsidRPr="00D57D3F">
        <w:t>, v roce 201</w:t>
      </w:r>
      <w:r w:rsidRPr="00D57D3F">
        <w:t>9</w:t>
      </w:r>
      <w:r w:rsidR="00F325B7" w:rsidRPr="00D57D3F">
        <w:t xml:space="preserve"> byla </w:t>
      </w:r>
      <w:r w:rsidR="00340459" w:rsidRPr="00D57D3F">
        <w:t>2</w:t>
      </w:r>
      <w:r w:rsidRPr="00D57D3F">
        <w:t> 787,3</w:t>
      </w:r>
      <w:r w:rsidR="00CF69F3" w:rsidRPr="00D57D3F">
        <w:t xml:space="preserve"> tis. t.</w:t>
      </w:r>
      <w:r w:rsidRPr="00D57D3F">
        <w:t xml:space="preserve">  Mírný pokles produkce je možno vyhodnotit jako pozitivní skutečnost, že střednědobě dochází k mírnému snižování </w:t>
      </w:r>
      <w:r w:rsidRPr="00D57D3F">
        <w:rPr>
          <w:b/>
          <w:bCs/>
        </w:rPr>
        <w:t>produkce směsného komunálního odpadu</w:t>
      </w:r>
      <w:r w:rsidRPr="00D57D3F">
        <w:t>.</w:t>
      </w:r>
    </w:p>
    <w:p w:rsidR="00FD5999" w:rsidRPr="00D57D3F" w:rsidRDefault="008C12E6" w:rsidP="006746B7">
      <w:pPr>
        <w:spacing w:after="120" w:line="276" w:lineRule="auto"/>
      </w:pPr>
      <w:r w:rsidRPr="00D57D3F">
        <w:t>Podíl směsného komunálního odpadu na celkové p</w:t>
      </w:r>
      <w:r w:rsidRPr="00D57D3F">
        <w:t>rodukci komunálních odpadů v roce 201</w:t>
      </w:r>
      <w:r w:rsidR="003114D6" w:rsidRPr="00D57D3F">
        <w:t>9</w:t>
      </w:r>
      <w:r w:rsidR="0059155B" w:rsidRPr="00D57D3F">
        <w:t xml:space="preserve"> činil 4</w:t>
      </w:r>
      <w:r w:rsidR="003114D6" w:rsidRPr="00D57D3F">
        <w:t>7,4</w:t>
      </w:r>
      <w:r w:rsidR="0059155B" w:rsidRPr="00D57D3F">
        <w:t xml:space="preserve"> % a v roce 20</w:t>
      </w:r>
      <w:r w:rsidR="003114D6" w:rsidRPr="00D57D3F">
        <w:t>20</w:t>
      </w:r>
      <w:r w:rsidR="0059155B" w:rsidRPr="00D57D3F">
        <w:t xml:space="preserve"> </w:t>
      </w:r>
      <w:r w:rsidR="008B242F" w:rsidRPr="00D57D3F">
        <w:t>to bylo</w:t>
      </w:r>
      <w:r w:rsidR="003114D6" w:rsidRPr="00D57D3F">
        <w:t xml:space="preserve"> 47</w:t>
      </w:r>
      <w:r w:rsidR="008B242F" w:rsidRPr="00D57D3F">
        <w:t>,8</w:t>
      </w:r>
      <w:r w:rsidRPr="00D57D3F">
        <w:t xml:space="preserve"> %</w:t>
      </w:r>
      <w:r w:rsidR="008B242F" w:rsidRPr="00D57D3F">
        <w:t>, tedy drží se na téměř stejné hodnotě</w:t>
      </w:r>
      <w:r w:rsidRPr="00D57D3F">
        <w:t xml:space="preserve">. </w:t>
      </w:r>
      <w:r w:rsidR="008B242F" w:rsidRPr="00D57D3F">
        <w:t>V roce 2020 se nepo</w:t>
      </w:r>
      <w:r w:rsidR="00221EEA" w:rsidRPr="00D57D3F">
        <w:t xml:space="preserve">tvrdil trend stálého poklesu tohoto ukazatele v posledních letech. </w:t>
      </w:r>
      <w:r w:rsidRPr="00D57D3F">
        <w:t xml:space="preserve"> Meziročně 201</w:t>
      </w:r>
      <w:r w:rsidR="00BD17FB" w:rsidRPr="00D57D3F">
        <w:t>9</w:t>
      </w:r>
      <w:r w:rsidR="00117B39" w:rsidRPr="00D57D3F">
        <w:t>-</w:t>
      </w:r>
      <w:r w:rsidRPr="00D57D3F">
        <w:t>20</w:t>
      </w:r>
      <w:r w:rsidR="00BD17FB" w:rsidRPr="00D57D3F">
        <w:t>20</w:t>
      </w:r>
      <w:r w:rsidRPr="00D57D3F">
        <w:t xml:space="preserve"> se produkce směsného komunáln</w:t>
      </w:r>
      <w:r w:rsidRPr="00D57D3F">
        <w:t xml:space="preserve">ího odpadu v přepočtu na obyvatele snížila </w:t>
      </w:r>
      <w:r w:rsidR="00221EEA" w:rsidRPr="00D57D3F">
        <w:t xml:space="preserve">pouze o </w:t>
      </w:r>
      <w:r w:rsidR="00BD17FB" w:rsidRPr="00D57D3F">
        <w:t>1,5</w:t>
      </w:r>
      <w:r w:rsidR="00C26FBA">
        <w:t> </w:t>
      </w:r>
      <w:r w:rsidRPr="00D57D3F">
        <w:t>kg.obyv.</w:t>
      </w:r>
      <w:r w:rsidRPr="00D57D3F">
        <w:rPr>
          <w:vertAlign w:val="superscript"/>
        </w:rPr>
        <w:t>-1</w:t>
      </w:r>
      <w:r w:rsidRPr="00D57D3F">
        <w:t xml:space="preserve"> na hodnotu 2</w:t>
      </w:r>
      <w:r w:rsidR="00BD17FB" w:rsidRPr="00D57D3F">
        <w:t>59,8</w:t>
      </w:r>
      <w:r w:rsidR="006746B7" w:rsidRPr="00D57D3F">
        <w:t> </w:t>
      </w:r>
      <w:r w:rsidRPr="00D57D3F">
        <w:t>kg.obyv.</w:t>
      </w:r>
      <w:r w:rsidRPr="00D57D3F">
        <w:rPr>
          <w:vertAlign w:val="superscript"/>
        </w:rPr>
        <w:t>-1</w:t>
      </w:r>
      <w:r w:rsidR="006746B7" w:rsidRPr="00D57D3F">
        <w:t>, v roce 201</w:t>
      </w:r>
      <w:r w:rsidR="00BD17FB" w:rsidRPr="00D57D3F">
        <w:t>9</w:t>
      </w:r>
      <w:r w:rsidR="006746B7" w:rsidRPr="00D57D3F">
        <w:t xml:space="preserve"> to bylo </w:t>
      </w:r>
      <w:r w:rsidR="00A34AD8" w:rsidRPr="00D57D3F">
        <w:t>26</w:t>
      </w:r>
      <w:r w:rsidR="00BD17FB" w:rsidRPr="00D57D3F">
        <w:t>1,3</w:t>
      </w:r>
      <w:r w:rsidR="00B33C33" w:rsidRPr="00D57D3F">
        <w:t> </w:t>
      </w:r>
      <w:proofErr w:type="spellStart"/>
      <w:r w:rsidR="006746B7" w:rsidRPr="00D57D3F">
        <w:t>kg.obyv</w:t>
      </w:r>
      <w:proofErr w:type="spellEnd"/>
      <w:r w:rsidR="006746B7" w:rsidRPr="00D57D3F">
        <w:t>.</w:t>
      </w:r>
      <w:r w:rsidR="00E9449D" w:rsidRPr="00D57D3F">
        <w:rPr>
          <w:vertAlign w:val="superscript"/>
        </w:rPr>
        <w:t>–</w:t>
      </w:r>
      <w:r w:rsidR="00B33C33" w:rsidRPr="00D57D3F">
        <w:rPr>
          <w:vertAlign w:val="superscript"/>
        </w:rPr>
        <w:t> 1</w:t>
      </w:r>
      <w:r w:rsidR="006746B7" w:rsidRPr="00D57D3F">
        <w:t xml:space="preserve"> </w:t>
      </w:r>
      <w:r w:rsidRPr="00D57D3F">
        <w:t xml:space="preserve">(Graf </w:t>
      </w:r>
      <w:r w:rsidR="00BC222E">
        <w:t>3</w:t>
      </w:r>
      <w:r w:rsidRPr="00D57D3F">
        <w:t>).</w:t>
      </w:r>
    </w:p>
    <w:p w:rsidR="004E2B6E" w:rsidRPr="00D57D3F" w:rsidRDefault="008C12E6" w:rsidP="006B789C">
      <w:pPr>
        <w:spacing w:after="120" w:line="276" w:lineRule="auto"/>
      </w:pPr>
      <w:r w:rsidRPr="00D57D3F">
        <w:t>V</w:t>
      </w:r>
      <w:r w:rsidR="00EA248E" w:rsidRPr="00D57D3F">
        <w:t xml:space="preserve"> roce </w:t>
      </w:r>
      <w:r w:rsidRPr="00D57D3F">
        <w:t>20</w:t>
      </w:r>
      <w:r w:rsidR="00BD17FB" w:rsidRPr="00D57D3F">
        <w:t>20</w:t>
      </w:r>
      <w:r w:rsidRPr="00D57D3F">
        <w:t xml:space="preserve"> má 19 % obcí v ČR nastavenou platbu občanů za komunální odpady podle množství produkovan</w:t>
      </w:r>
      <w:r w:rsidR="00BD17FB" w:rsidRPr="00D57D3F">
        <w:t xml:space="preserve">ého </w:t>
      </w:r>
      <w:r w:rsidRPr="00D57D3F">
        <w:t>komunální</w:t>
      </w:r>
      <w:r w:rsidR="00BD17FB" w:rsidRPr="00D57D3F">
        <w:t>ho</w:t>
      </w:r>
      <w:r w:rsidRPr="00D57D3F">
        <w:t xml:space="preserve"> odpad</w:t>
      </w:r>
      <w:r w:rsidR="00BD17FB" w:rsidRPr="00D57D3F">
        <w:t>u</w:t>
      </w:r>
      <w:r w:rsidRPr="00D57D3F">
        <w:t xml:space="preserve">. </w:t>
      </w:r>
    </w:p>
    <w:p w:rsidR="00813406" w:rsidRPr="00D57D3F" w:rsidRDefault="008C12E6" w:rsidP="004612AC">
      <w:pPr>
        <w:spacing w:after="120" w:line="276" w:lineRule="auto"/>
      </w:pPr>
      <w:r w:rsidRPr="00D57D3F">
        <w:t xml:space="preserve">Podle dosavadní metodiky je většina </w:t>
      </w:r>
      <w:r w:rsidR="005D729C" w:rsidRPr="00D57D3F">
        <w:t xml:space="preserve">komunálních odpadů </w:t>
      </w:r>
      <w:r w:rsidR="005D729C" w:rsidRPr="00D57D3F">
        <w:rPr>
          <w:b/>
        </w:rPr>
        <w:t>využita</w:t>
      </w:r>
      <w:r w:rsidR="005D729C" w:rsidRPr="00D57D3F">
        <w:t xml:space="preserve"> 5</w:t>
      </w:r>
      <w:r w:rsidRPr="00D57D3F">
        <w:t>1</w:t>
      </w:r>
      <w:r w:rsidR="005D729C" w:rsidRPr="00D57D3F">
        <w:t>,</w:t>
      </w:r>
      <w:r w:rsidRPr="00D57D3F">
        <w:t>2</w:t>
      </w:r>
      <w:r w:rsidR="005D729C" w:rsidRPr="00D57D3F">
        <w:t xml:space="preserve"> % v roce 20</w:t>
      </w:r>
      <w:r w:rsidRPr="00D57D3F">
        <w:t>20</w:t>
      </w:r>
      <w:r w:rsidR="005D729C" w:rsidRPr="00D57D3F">
        <w:t>. V roce 201</w:t>
      </w:r>
      <w:r w:rsidRPr="00D57D3F">
        <w:t>9</w:t>
      </w:r>
      <w:r w:rsidR="005D729C" w:rsidRPr="00D57D3F">
        <w:t xml:space="preserve"> to bylo </w:t>
      </w:r>
      <w:r w:rsidRPr="00D57D3F">
        <w:t>52,7</w:t>
      </w:r>
      <w:r w:rsidR="005D729C" w:rsidRPr="00D57D3F">
        <w:t xml:space="preserve"> %. Je zde malý </w:t>
      </w:r>
      <w:r w:rsidRPr="00D57D3F">
        <w:t xml:space="preserve">pokles </w:t>
      </w:r>
      <w:r w:rsidR="005D729C" w:rsidRPr="00D57D3F">
        <w:t xml:space="preserve">o </w:t>
      </w:r>
      <w:r w:rsidRPr="00D57D3F">
        <w:t>1,5</w:t>
      </w:r>
      <w:r w:rsidR="005D729C" w:rsidRPr="00D57D3F">
        <w:t xml:space="preserve"> %. </w:t>
      </w:r>
      <w:r w:rsidR="005D729C" w:rsidRPr="00D57D3F">
        <w:rPr>
          <w:b/>
        </w:rPr>
        <w:t>U odstraňování k</w:t>
      </w:r>
      <w:r w:rsidR="004971A7" w:rsidRPr="00D57D3F">
        <w:rPr>
          <w:b/>
        </w:rPr>
        <w:t>omunálních odpadů dominuje</w:t>
      </w:r>
      <w:r w:rsidR="004971A7" w:rsidRPr="00D57D3F">
        <w:t xml:space="preserve"> </w:t>
      </w:r>
      <w:r w:rsidR="004971A7" w:rsidRPr="00D57D3F">
        <w:rPr>
          <w:b/>
        </w:rPr>
        <w:t>skládkování</w:t>
      </w:r>
      <w:r w:rsidR="004971A7" w:rsidRPr="00D57D3F">
        <w:t>. V</w:t>
      </w:r>
      <w:r w:rsidR="004B1984" w:rsidRPr="00D57D3F">
        <w:t> </w:t>
      </w:r>
      <w:r w:rsidR="004971A7" w:rsidRPr="00D57D3F">
        <w:t>meziročním srovnání 201</w:t>
      </w:r>
      <w:r w:rsidRPr="00D57D3F">
        <w:t>9</w:t>
      </w:r>
      <w:r w:rsidR="00CB4FAE" w:rsidRPr="00D57D3F">
        <w:t>-</w:t>
      </w:r>
      <w:r w:rsidR="004971A7" w:rsidRPr="00D57D3F">
        <w:t>20</w:t>
      </w:r>
      <w:r w:rsidRPr="00D57D3F">
        <w:t>20</w:t>
      </w:r>
      <w:r w:rsidR="004971A7" w:rsidRPr="00D57D3F">
        <w:t xml:space="preserve"> se </w:t>
      </w:r>
      <w:r w:rsidR="005D729C" w:rsidRPr="00D57D3F">
        <w:t xml:space="preserve">zvýšil </w:t>
      </w:r>
      <w:r w:rsidR="004971A7" w:rsidRPr="00D57D3F">
        <w:t>podíl komunálních odpadů odstraněných skládkováním na celkové produkci komunálních odpadů ze 4</w:t>
      </w:r>
      <w:r w:rsidR="0030660D" w:rsidRPr="00D57D3F">
        <w:t>5</w:t>
      </w:r>
      <w:r w:rsidR="004971A7" w:rsidRPr="00D57D3F">
        <w:t>,</w:t>
      </w:r>
      <w:r w:rsidRPr="00D57D3F">
        <w:t>9</w:t>
      </w:r>
      <w:r w:rsidR="004971A7" w:rsidRPr="00D57D3F">
        <w:t> % na 4</w:t>
      </w:r>
      <w:r w:rsidRPr="00D57D3F">
        <w:t>7,8</w:t>
      </w:r>
      <w:r w:rsidR="005D729C" w:rsidRPr="00D57D3F">
        <w:t xml:space="preserve"> </w:t>
      </w:r>
      <w:r w:rsidR="004971A7" w:rsidRPr="00D57D3F">
        <w:t xml:space="preserve">%. </w:t>
      </w:r>
      <w:r w:rsidR="004971A7" w:rsidRPr="00D57D3F">
        <w:rPr>
          <w:b/>
        </w:rPr>
        <w:t>V</w:t>
      </w:r>
      <w:r w:rsidR="008B70F5" w:rsidRPr="00D57D3F">
        <w:rPr>
          <w:b/>
        </w:rPr>
        <w:t> </w:t>
      </w:r>
      <w:r w:rsidR="004971A7" w:rsidRPr="00D57D3F">
        <w:rPr>
          <w:b/>
        </w:rPr>
        <w:t>roce 20</w:t>
      </w:r>
      <w:r w:rsidRPr="00D57D3F">
        <w:rPr>
          <w:b/>
        </w:rPr>
        <w:t>20</w:t>
      </w:r>
      <w:r w:rsidR="004971A7" w:rsidRPr="00D57D3F">
        <w:rPr>
          <w:b/>
        </w:rPr>
        <w:t xml:space="preserve"> činilo množství komunálních odpadů odstraněných skládkováním 2</w:t>
      </w:r>
      <w:r w:rsidRPr="00D57D3F">
        <w:rPr>
          <w:b/>
        </w:rPr>
        <w:t> 737,3</w:t>
      </w:r>
      <w:r w:rsidR="004971A7" w:rsidRPr="00D57D3F">
        <w:rPr>
          <w:b/>
        </w:rPr>
        <w:t xml:space="preserve"> tis. t.</w:t>
      </w:r>
      <w:r w:rsidR="004971A7" w:rsidRPr="00D57D3F">
        <w:t xml:space="preserve"> </w:t>
      </w:r>
      <w:r w:rsidR="0030660D" w:rsidRPr="00D57D3F">
        <w:t xml:space="preserve">Meziročně </w:t>
      </w:r>
      <w:r w:rsidR="0052320C" w:rsidRPr="00D57D3F">
        <w:t xml:space="preserve">vzrostlo o </w:t>
      </w:r>
      <w:r w:rsidRPr="00D57D3F">
        <w:t>41</w:t>
      </w:r>
      <w:r w:rsidR="0052320C" w:rsidRPr="00D57D3F">
        <w:t xml:space="preserve"> tis. t (</w:t>
      </w:r>
      <w:r w:rsidRPr="00D57D3F">
        <w:t>v roce 2019 to bylo 2 696,3 ti</w:t>
      </w:r>
      <w:r w:rsidRPr="00D57D3F">
        <w:t>s. t</w:t>
      </w:r>
      <w:r w:rsidR="0052320C" w:rsidRPr="00D57D3F">
        <w:t>).</w:t>
      </w:r>
      <w:r w:rsidR="00D14782" w:rsidRPr="00D57D3F">
        <w:t xml:space="preserve"> </w:t>
      </w:r>
      <w:r w:rsidRPr="00D57D3F">
        <w:t xml:space="preserve">V roce 2020 bylo </w:t>
      </w:r>
      <w:r w:rsidR="00DF2F8F" w:rsidRPr="00D57D3F">
        <w:t>2 129,4</w:t>
      </w:r>
      <w:r w:rsidRPr="00D57D3F">
        <w:t xml:space="preserve"> tis.</w:t>
      </w:r>
      <w:r w:rsidR="00D57D3F" w:rsidRPr="00D57D3F">
        <w:t> </w:t>
      </w:r>
      <w:r w:rsidRPr="00D57D3F">
        <w:t xml:space="preserve">t </w:t>
      </w:r>
      <w:r w:rsidRPr="00D57D3F">
        <w:lastRenderedPageBreak/>
        <w:t>směsného komunálního odpadu skládkováno. Meziročně došlo k</w:t>
      </w:r>
      <w:r w:rsidR="00DF2F8F" w:rsidRPr="00D57D3F">
        <w:t> mírnému nárůstu o 18,9 tis.</w:t>
      </w:r>
      <w:r w:rsidR="00C26FBA">
        <w:t> t</w:t>
      </w:r>
      <w:r w:rsidR="00DF2F8F" w:rsidRPr="00D57D3F">
        <w:t xml:space="preserve"> z</w:t>
      </w:r>
      <w:r w:rsidR="004612AC" w:rsidRPr="00D57D3F">
        <w:t> </w:t>
      </w:r>
      <w:r w:rsidR="00DF2F8F" w:rsidRPr="00D57D3F">
        <w:t>2</w:t>
      </w:r>
      <w:r w:rsidR="004612AC" w:rsidRPr="00D57D3F">
        <w:t xml:space="preserve"> </w:t>
      </w:r>
      <w:r w:rsidR="00DF2F8F" w:rsidRPr="00D57D3F">
        <w:t xml:space="preserve">110,5 tis. t v roce 2019. </w:t>
      </w:r>
    </w:p>
    <w:p w:rsidR="00813406" w:rsidRPr="00D57D3F" w:rsidRDefault="008C12E6" w:rsidP="003B2EEA">
      <w:pPr>
        <w:spacing w:after="120" w:line="276" w:lineRule="auto"/>
      </w:pPr>
      <w:r w:rsidRPr="00D57D3F">
        <w:rPr>
          <w:b/>
        </w:rPr>
        <w:t>S</w:t>
      </w:r>
      <w:r w:rsidR="004971A7" w:rsidRPr="00D57D3F">
        <w:rPr>
          <w:b/>
        </w:rPr>
        <w:t>kládkování komunálních odpadů v</w:t>
      </w:r>
      <w:r w:rsidR="00794660" w:rsidRPr="00D57D3F">
        <w:rPr>
          <w:b/>
        </w:rPr>
        <w:t> </w:t>
      </w:r>
      <w:r w:rsidR="004971A7" w:rsidRPr="00D57D3F">
        <w:rPr>
          <w:b/>
        </w:rPr>
        <w:t>ČR</w:t>
      </w:r>
      <w:r w:rsidR="00794660" w:rsidRPr="00D57D3F">
        <w:rPr>
          <w:b/>
        </w:rPr>
        <w:t>, které představuje poslední úroveň v hierarchii nakládání s odpady,</w:t>
      </w:r>
      <w:r w:rsidR="004971A7" w:rsidRPr="00D57D3F">
        <w:rPr>
          <w:b/>
        </w:rPr>
        <w:t xml:space="preserve"> je </w:t>
      </w:r>
      <w:r w:rsidR="00794660" w:rsidRPr="00D57D3F">
        <w:rPr>
          <w:b/>
        </w:rPr>
        <w:t xml:space="preserve">v ČR </w:t>
      </w:r>
      <w:r w:rsidRPr="00D57D3F">
        <w:rPr>
          <w:b/>
        </w:rPr>
        <w:t>stále velmi vysoké</w:t>
      </w:r>
      <w:r w:rsidR="00794660" w:rsidRPr="00D57D3F">
        <w:rPr>
          <w:b/>
        </w:rPr>
        <w:t xml:space="preserve"> a</w:t>
      </w:r>
      <w:r w:rsidR="00010AAC" w:rsidRPr="00D57D3F">
        <w:rPr>
          <w:b/>
        </w:rPr>
        <w:t> </w:t>
      </w:r>
      <w:r w:rsidR="00794660" w:rsidRPr="00D57D3F">
        <w:rPr>
          <w:b/>
        </w:rPr>
        <w:t>představuje dvojnásobek průměru EU</w:t>
      </w:r>
      <w:r w:rsidRPr="00D57D3F">
        <w:rPr>
          <w:b/>
        </w:rPr>
        <w:t>.</w:t>
      </w:r>
      <w:r w:rsidRPr="00D57D3F">
        <w:t xml:space="preserve"> </w:t>
      </w:r>
      <w:r w:rsidR="001E4C80" w:rsidRPr="00D57D3F">
        <w:t xml:space="preserve"> </w:t>
      </w:r>
    </w:p>
    <w:p w:rsidR="004971A7" w:rsidRPr="00D57D3F" w:rsidRDefault="008C12E6" w:rsidP="004971A7">
      <w:pPr>
        <w:spacing w:after="120" w:line="276" w:lineRule="auto"/>
      </w:pPr>
      <w:r w:rsidRPr="00D57D3F">
        <w:t>V roce 20</w:t>
      </w:r>
      <w:r w:rsidR="004C31B4" w:rsidRPr="00D57D3F">
        <w:t>20</w:t>
      </w:r>
      <w:r w:rsidRPr="00D57D3F">
        <w:t xml:space="preserve"> bylo </w:t>
      </w:r>
      <w:r w:rsidRPr="00D57D3F">
        <w:rPr>
          <w:b/>
        </w:rPr>
        <w:t>materiálově využito</w:t>
      </w:r>
      <w:r w:rsidRPr="00D57D3F">
        <w:t xml:space="preserve"> </w:t>
      </w:r>
      <w:r w:rsidR="00511D7D" w:rsidRPr="00D57D3F">
        <w:t>38,6</w:t>
      </w:r>
      <w:r w:rsidRPr="00D57D3F">
        <w:t xml:space="preserve"> % komunálních odpadů</w:t>
      </w:r>
      <w:r w:rsidR="006746B7" w:rsidRPr="00D57D3F">
        <w:t>, v roce 201</w:t>
      </w:r>
      <w:r w:rsidR="00811DEE" w:rsidRPr="00D57D3F">
        <w:t>9</w:t>
      </w:r>
      <w:r w:rsidR="006746B7" w:rsidRPr="00D57D3F">
        <w:t xml:space="preserve"> to bylo </w:t>
      </w:r>
      <w:r w:rsidR="00811DEE" w:rsidRPr="00D57D3F">
        <w:t>40,9</w:t>
      </w:r>
      <w:r w:rsidR="00A34AD8" w:rsidRPr="00D57D3F">
        <w:t> </w:t>
      </w:r>
      <w:r w:rsidR="006746B7" w:rsidRPr="00D57D3F">
        <w:t>%</w:t>
      </w:r>
      <w:r w:rsidRPr="00D57D3F">
        <w:t>. Meziročně 201</w:t>
      </w:r>
      <w:r w:rsidR="00811DEE" w:rsidRPr="00D57D3F">
        <w:t>9</w:t>
      </w:r>
      <w:r w:rsidR="00FE43F0" w:rsidRPr="00D57D3F">
        <w:t>-</w:t>
      </w:r>
      <w:r w:rsidRPr="00D57D3F">
        <w:t>20</w:t>
      </w:r>
      <w:r w:rsidR="00811DEE" w:rsidRPr="00D57D3F">
        <w:t>20</w:t>
      </w:r>
      <w:r w:rsidRPr="00D57D3F">
        <w:t xml:space="preserve"> došlo ke </w:t>
      </w:r>
      <w:r w:rsidR="00811DEE" w:rsidRPr="00D57D3F">
        <w:t xml:space="preserve">snížení </w:t>
      </w:r>
      <w:r w:rsidRPr="00D57D3F">
        <w:t>množství materiálově využitých komunálních odpadů o </w:t>
      </w:r>
      <w:r w:rsidR="00811DEE" w:rsidRPr="00D57D3F">
        <w:t>19</w:t>
      </w:r>
      <w:r w:rsidR="00137604" w:rsidRPr="00D57D3F">
        <w:t>4</w:t>
      </w:r>
      <w:r w:rsidR="00811DEE" w:rsidRPr="00D57D3F">
        <w:t>,7</w:t>
      </w:r>
      <w:r w:rsidR="00511D7D" w:rsidRPr="00D57D3F">
        <w:t xml:space="preserve"> </w:t>
      </w:r>
      <w:r w:rsidRPr="00D57D3F">
        <w:t>tis. t na hodnotu 2</w:t>
      </w:r>
      <w:r w:rsidR="00811DEE" w:rsidRPr="00D57D3F">
        <w:t xml:space="preserve"> 213,8 </w:t>
      </w:r>
      <w:r w:rsidRPr="00D57D3F">
        <w:t>tis. t</w:t>
      </w:r>
      <w:r w:rsidR="00511D7D" w:rsidRPr="00D57D3F">
        <w:t xml:space="preserve"> </w:t>
      </w:r>
      <w:r w:rsidR="00811DEE" w:rsidRPr="00D57D3F">
        <w:t xml:space="preserve">v roce 2020 </w:t>
      </w:r>
      <w:r w:rsidR="00511D7D" w:rsidRPr="00D57D3F">
        <w:t>(v roce 201</w:t>
      </w:r>
      <w:r w:rsidR="004C31B4" w:rsidRPr="00D57D3F">
        <w:t>9</w:t>
      </w:r>
      <w:r w:rsidR="00511D7D" w:rsidRPr="00D57D3F">
        <w:t xml:space="preserve"> to bylo </w:t>
      </w:r>
      <w:r w:rsidR="00811DEE" w:rsidRPr="00D57D3F">
        <w:t>2 408,5 tis. t</w:t>
      </w:r>
      <w:r w:rsidR="00511D7D" w:rsidRPr="00D57D3F">
        <w:t>)</w:t>
      </w:r>
      <w:r w:rsidRPr="00D57D3F">
        <w:t>.</w:t>
      </w:r>
    </w:p>
    <w:p w:rsidR="00DC0666" w:rsidRPr="00D57D3F" w:rsidRDefault="008C12E6" w:rsidP="00D321C3">
      <w:pPr>
        <w:spacing w:after="120" w:line="276" w:lineRule="auto"/>
        <w:rPr>
          <w:bCs/>
        </w:rPr>
      </w:pPr>
      <w:r w:rsidRPr="00D57D3F">
        <w:t>Již v r</w:t>
      </w:r>
      <w:r w:rsidR="008C53F2" w:rsidRPr="00D57D3F">
        <w:t xml:space="preserve">oce </w:t>
      </w:r>
      <w:r w:rsidR="008C53F2" w:rsidRPr="00D57D3F">
        <w:rPr>
          <w:b/>
        </w:rPr>
        <w:t xml:space="preserve">2015 </w:t>
      </w:r>
      <w:r w:rsidR="008C53F2" w:rsidRPr="00D57D3F">
        <w:t xml:space="preserve">byl v obcích zaveden </w:t>
      </w:r>
      <w:r w:rsidR="008C53F2" w:rsidRPr="00D57D3F">
        <w:rPr>
          <w:b/>
        </w:rPr>
        <w:t xml:space="preserve">povinný sběr </w:t>
      </w:r>
      <w:r w:rsidR="00302F3D" w:rsidRPr="00D57D3F">
        <w:rPr>
          <w:b/>
        </w:rPr>
        <w:t xml:space="preserve">odpadů </w:t>
      </w:r>
      <w:r w:rsidR="008C53F2" w:rsidRPr="00D57D3F">
        <w:rPr>
          <w:b/>
        </w:rPr>
        <w:t>papíru, plastů, skla a kovů</w:t>
      </w:r>
      <w:r w:rsidR="008C53F2" w:rsidRPr="00D57D3F">
        <w:t xml:space="preserve">. </w:t>
      </w:r>
      <w:r w:rsidR="008C53F2" w:rsidRPr="00D57D3F">
        <w:rPr>
          <w:b/>
        </w:rPr>
        <w:t xml:space="preserve">Cíl byl splněn. </w:t>
      </w:r>
      <w:r w:rsidR="008C53F2" w:rsidRPr="00D57D3F">
        <w:t xml:space="preserve"> </w:t>
      </w:r>
      <w:r w:rsidR="00D321C3" w:rsidRPr="00D57D3F">
        <w:rPr>
          <w:bCs/>
        </w:rPr>
        <w:t xml:space="preserve">Zákon č. 229/2014 Sb., </w:t>
      </w:r>
      <w:r w:rsidR="00794660" w:rsidRPr="00D57D3F">
        <w:rPr>
          <w:bCs/>
        </w:rPr>
        <w:t>který novelizoval</w:t>
      </w:r>
      <w:r w:rsidR="00D321C3" w:rsidRPr="00D57D3F">
        <w:rPr>
          <w:bCs/>
        </w:rPr>
        <w:t xml:space="preserve"> zákon o odpadech, zavedl v roce 2015 povinný sběr kovů a biologicky rozložitelných</w:t>
      </w:r>
      <w:r w:rsidRPr="00D57D3F">
        <w:rPr>
          <w:bCs/>
        </w:rPr>
        <w:t xml:space="preserve"> (rostlinných) </w:t>
      </w:r>
      <w:r w:rsidR="00D321C3" w:rsidRPr="00D57D3F">
        <w:rPr>
          <w:bCs/>
        </w:rPr>
        <w:t>komunálních odpadů v</w:t>
      </w:r>
      <w:r w:rsidRPr="00D57D3F">
        <w:rPr>
          <w:bCs/>
        </w:rPr>
        <w:t> </w:t>
      </w:r>
      <w:r w:rsidR="00D321C3" w:rsidRPr="00D57D3F">
        <w:rPr>
          <w:bCs/>
        </w:rPr>
        <w:t>obcích</w:t>
      </w:r>
      <w:r w:rsidRPr="00D57D3F">
        <w:rPr>
          <w:bCs/>
        </w:rPr>
        <w:t>.</w:t>
      </w:r>
    </w:p>
    <w:p w:rsidR="00D321C3" w:rsidRPr="00D57D3F" w:rsidRDefault="008C12E6" w:rsidP="00D321C3">
      <w:pPr>
        <w:spacing w:after="120" w:line="276" w:lineRule="auto"/>
        <w:rPr>
          <w:bCs/>
        </w:rPr>
      </w:pPr>
      <w:r w:rsidRPr="00D57D3F">
        <w:rPr>
          <w:bCs/>
        </w:rPr>
        <w:t xml:space="preserve">V letech 2019 a 2020 probíhala intenzivně příprava nových právních předpisů v souvislosti s evropskou </w:t>
      </w:r>
      <w:proofErr w:type="gramStart"/>
      <w:r w:rsidRPr="00D57D3F">
        <w:rPr>
          <w:bCs/>
        </w:rPr>
        <w:t xml:space="preserve">legislativou - </w:t>
      </w:r>
      <w:r w:rsidR="00E9449D" w:rsidRPr="00D57D3F">
        <w:rPr>
          <w:bCs/>
        </w:rPr>
        <w:t>přijatým</w:t>
      </w:r>
      <w:proofErr w:type="gramEnd"/>
      <w:r w:rsidR="00E9449D" w:rsidRPr="00D57D3F">
        <w:rPr>
          <w:bCs/>
        </w:rPr>
        <w:t xml:space="preserve"> balíčkem nových směrnic</w:t>
      </w:r>
      <w:r w:rsidRPr="00D57D3F">
        <w:rPr>
          <w:bCs/>
        </w:rPr>
        <w:t xml:space="preserve"> </w:t>
      </w:r>
      <w:r w:rsidR="008B242F" w:rsidRPr="00D57D3F">
        <w:rPr>
          <w:bCs/>
        </w:rPr>
        <w:t xml:space="preserve">EU </w:t>
      </w:r>
      <w:r w:rsidRPr="00D57D3F">
        <w:rPr>
          <w:bCs/>
        </w:rPr>
        <w:t xml:space="preserve">v oblasti odpadového hospodářství. </w:t>
      </w:r>
      <w:r w:rsidR="00E9449D" w:rsidRPr="00D57D3F">
        <w:rPr>
          <w:bCs/>
        </w:rPr>
        <w:t xml:space="preserve">   </w:t>
      </w:r>
    </w:p>
    <w:p w:rsidR="005078ED" w:rsidRPr="00D57D3F" w:rsidRDefault="008C12E6" w:rsidP="006E7A68">
      <w:pPr>
        <w:spacing w:after="120" w:line="276" w:lineRule="auto"/>
      </w:pPr>
      <w:r w:rsidRPr="00D57D3F">
        <w:t>V</w:t>
      </w:r>
      <w:r w:rsidR="008A35B1" w:rsidRPr="00D57D3F">
        <w:t> roce 2019</w:t>
      </w:r>
      <w:r w:rsidRPr="00D57D3F">
        <w:t xml:space="preserve"> byl</w:t>
      </w:r>
      <w:r w:rsidRPr="00D57D3F">
        <w:rPr>
          <w:b/>
        </w:rPr>
        <w:t xml:space="preserve"> splněn cíl v oblasti komunálních odpadů na zvýš</w:t>
      </w:r>
      <w:r w:rsidR="009A6313" w:rsidRPr="00D57D3F">
        <w:rPr>
          <w:b/>
        </w:rPr>
        <w:t>ení</w:t>
      </w:r>
      <w:r w:rsidRPr="00D57D3F">
        <w:rPr>
          <w:b/>
        </w:rPr>
        <w:t xml:space="preserve"> celkové úrovně přípravy k opětovnému použití a recyklaci u odpadů z materiálů jako je papír, plast, kov, sklo.</w:t>
      </w:r>
      <w:r w:rsidR="00AB0B2D" w:rsidRPr="00D57D3F">
        <w:rPr>
          <w:b/>
        </w:rPr>
        <w:t xml:space="preserve"> </w:t>
      </w:r>
      <w:r w:rsidR="009C5C38" w:rsidRPr="00D57D3F">
        <w:rPr>
          <w:b/>
        </w:rPr>
        <w:t>Míra recyklace</w:t>
      </w:r>
      <w:r w:rsidR="009C5C38" w:rsidRPr="00D57D3F">
        <w:t xml:space="preserve"> odpadu papíru, skla, plastů, kovů </w:t>
      </w:r>
      <w:r w:rsidR="00F21AB9" w:rsidRPr="00D57D3F">
        <w:t xml:space="preserve">pocházejících </w:t>
      </w:r>
      <w:r w:rsidR="009C5C38" w:rsidRPr="00D57D3F">
        <w:t>z domácností a</w:t>
      </w:r>
      <w:r w:rsidR="00F21AB9" w:rsidRPr="00D57D3F">
        <w:t> </w:t>
      </w:r>
      <w:r w:rsidR="009C5C38" w:rsidRPr="00D57D3F">
        <w:t xml:space="preserve">podobného odpadu </w:t>
      </w:r>
      <w:r w:rsidR="009A6313" w:rsidRPr="00D57D3F">
        <w:t>pro stanov</w:t>
      </w:r>
      <w:r w:rsidR="009C5C38" w:rsidRPr="00D57D3F">
        <w:t xml:space="preserve">ený </w:t>
      </w:r>
      <w:r w:rsidR="009A6313" w:rsidRPr="00D57D3F">
        <w:rPr>
          <w:b/>
        </w:rPr>
        <w:t>rok 20</w:t>
      </w:r>
      <w:r w:rsidR="00DC0666" w:rsidRPr="00D57D3F">
        <w:rPr>
          <w:b/>
        </w:rPr>
        <w:t>19</w:t>
      </w:r>
      <w:r w:rsidR="009A6313" w:rsidRPr="00D57D3F">
        <w:rPr>
          <w:b/>
        </w:rPr>
        <w:t xml:space="preserve"> </w:t>
      </w:r>
      <w:r w:rsidR="009C5C38" w:rsidRPr="00D57D3F">
        <w:rPr>
          <w:b/>
        </w:rPr>
        <w:t xml:space="preserve">dosáhla </w:t>
      </w:r>
      <w:r w:rsidR="009A6313" w:rsidRPr="00D57D3F">
        <w:rPr>
          <w:b/>
        </w:rPr>
        <w:t>hodnot</w:t>
      </w:r>
      <w:r w:rsidR="009C5C38" w:rsidRPr="00D57D3F">
        <w:rPr>
          <w:b/>
        </w:rPr>
        <w:t>y 5</w:t>
      </w:r>
      <w:r w:rsidR="00DF7A20" w:rsidRPr="00D57D3F">
        <w:rPr>
          <w:b/>
        </w:rPr>
        <w:t>2</w:t>
      </w:r>
      <w:r w:rsidR="009C5C38" w:rsidRPr="00D57D3F">
        <w:rPr>
          <w:b/>
        </w:rPr>
        <w:t>,</w:t>
      </w:r>
      <w:r w:rsidR="00DF7A20" w:rsidRPr="00D57D3F">
        <w:rPr>
          <w:b/>
        </w:rPr>
        <w:t>1</w:t>
      </w:r>
      <w:r w:rsidR="009C5C38" w:rsidRPr="00D57D3F">
        <w:rPr>
          <w:b/>
        </w:rPr>
        <w:t xml:space="preserve"> </w:t>
      </w:r>
      <w:r w:rsidR="009A6313" w:rsidRPr="00D57D3F">
        <w:rPr>
          <w:b/>
        </w:rPr>
        <w:t>%</w:t>
      </w:r>
      <w:r w:rsidR="00A43569" w:rsidRPr="00D57D3F">
        <w:rPr>
          <w:b/>
        </w:rPr>
        <w:t xml:space="preserve"> </w:t>
      </w:r>
      <w:r w:rsidRPr="00D57D3F">
        <w:t>(</w:t>
      </w:r>
      <w:r w:rsidR="008A35B1" w:rsidRPr="00D57D3F">
        <w:t xml:space="preserve">metoda 2 </w:t>
      </w:r>
      <w:r w:rsidRPr="00D57D3F">
        <w:t>podle rozhodnutí Komise 2011/753/EU</w:t>
      </w:r>
      <w:r w:rsidR="008B242F" w:rsidRPr="00D57D3F">
        <w:t>)</w:t>
      </w:r>
      <w:r w:rsidR="008F47F3" w:rsidRPr="00D57D3F">
        <w:t xml:space="preserve">. V době přípravy zprávy není hodnota plnění cíle pro rok 2020 dostupná.  </w:t>
      </w:r>
    </w:p>
    <w:p w:rsidR="00506FDE" w:rsidRPr="00D57D3F" w:rsidRDefault="008C12E6" w:rsidP="00506FDE">
      <w:pPr>
        <w:spacing w:after="120" w:line="276" w:lineRule="auto"/>
      </w:pPr>
      <w:r w:rsidRPr="00D57D3F">
        <w:t xml:space="preserve">V roce 2020 tvořilo </w:t>
      </w:r>
      <w:r w:rsidR="00097FAD" w:rsidRPr="00D57D3F">
        <w:t xml:space="preserve">českou sběrnou síť přes </w:t>
      </w:r>
      <w:r w:rsidR="0086631F" w:rsidRPr="00D57D3F">
        <w:rPr>
          <w:b/>
        </w:rPr>
        <w:t xml:space="preserve">558 </w:t>
      </w:r>
      <w:r w:rsidR="006E7A68" w:rsidRPr="00D57D3F">
        <w:rPr>
          <w:b/>
        </w:rPr>
        <w:t>000</w:t>
      </w:r>
      <w:r w:rsidR="00097FAD" w:rsidRPr="00D57D3F">
        <w:rPr>
          <w:b/>
        </w:rPr>
        <w:t xml:space="preserve"> veřejně dostupných barevných kontejnerů</w:t>
      </w:r>
      <w:r w:rsidR="00097FAD" w:rsidRPr="00D57D3F">
        <w:t xml:space="preserve"> a</w:t>
      </w:r>
      <w:r w:rsidR="00F87715" w:rsidRPr="00D57D3F">
        <w:t> </w:t>
      </w:r>
      <w:r w:rsidR="00097FAD" w:rsidRPr="00D57D3F">
        <w:t>nádob na třídění odpadů. V roce 20</w:t>
      </w:r>
      <w:r w:rsidRPr="00D57D3F">
        <w:t>20</w:t>
      </w:r>
      <w:r w:rsidR="00097FAD" w:rsidRPr="00D57D3F">
        <w:t xml:space="preserve"> byla průměrná docházková vzdálenost k třídící nádobě jen 9</w:t>
      </w:r>
      <w:r w:rsidR="006F48E7" w:rsidRPr="00D57D3F">
        <w:t>0</w:t>
      </w:r>
      <w:r w:rsidR="00097FAD" w:rsidRPr="00D57D3F">
        <w:t xml:space="preserve"> m.</w:t>
      </w:r>
      <w:r w:rsidR="00EA654D" w:rsidRPr="00D57D3F">
        <w:t xml:space="preserve"> </w:t>
      </w:r>
      <w:r w:rsidRPr="00D57D3F">
        <w:t xml:space="preserve"> </w:t>
      </w:r>
      <w:r w:rsidR="00EA654D" w:rsidRPr="00D57D3F">
        <w:t xml:space="preserve">Dále jsou využitelné odpady sbírány prostřednictvím sběrných dvorů a komerčních zařízení ke sběru a výkupu odpadů. </w:t>
      </w:r>
    </w:p>
    <w:p w:rsidR="00476B3C" w:rsidRPr="00D57D3F" w:rsidRDefault="008C12E6" w:rsidP="00506FDE">
      <w:pPr>
        <w:spacing w:after="120" w:line="276" w:lineRule="auto"/>
      </w:pPr>
      <w:r w:rsidRPr="00D57D3F">
        <w:t>V roce 20</w:t>
      </w:r>
      <w:r w:rsidR="00DC0666" w:rsidRPr="00D57D3F">
        <w:t>20</w:t>
      </w:r>
      <w:r w:rsidRPr="00D57D3F">
        <w:t xml:space="preserve"> občané </w:t>
      </w:r>
      <w:r w:rsidR="00E53AA1" w:rsidRPr="00D57D3F">
        <w:t xml:space="preserve">a domácnosti </w:t>
      </w:r>
      <w:r w:rsidRPr="00D57D3F">
        <w:t xml:space="preserve">vytřídili </w:t>
      </w:r>
      <w:r w:rsidR="004A7D2B" w:rsidRPr="00D57D3F">
        <w:t>28,5</w:t>
      </w:r>
      <w:r w:rsidRPr="00D57D3F">
        <w:t xml:space="preserve"> kg/obyv. papíru, 1</w:t>
      </w:r>
      <w:r w:rsidR="004A7D2B" w:rsidRPr="00D57D3F">
        <w:t>6</w:t>
      </w:r>
      <w:r w:rsidRPr="00D57D3F">
        <w:t>,</w:t>
      </w:r>
      <w:r w:rsidR="004A7D2B" w:rsidRPr="00D57D3F">
        <w:t>7</w:t>
      </w:r>
      <w:r w:rsidRPr="00D57D3F">
        <w:t> kg/obyv. plastu, 1</w:t>
      </w:r>
      <w:r w:rsidR="004A7D2B" w:rsidRPr="00D57D3F">
        <w:t>5,</w:t>
      </w:r>
      <w:r w:rsidRPr="00D57D3F">
        <w:t>3</w:t>
      </w:r>
      <w:r w:rsidR="007B5F90">
        <w:t> </w:t>
      </w:r>
      <w:r w:rsidRPr="00D57D3F">
        <w:t>kg/obyv. skla</w:t>
      </w:r>
      <w:r w:rsidR="00842125" w:rsidRPr="00D57D3F">
        <w:t xml:space="preserve"> a </w:t>
      </w:r>
      <w:r w:rsidRPr="00D57D3F">
        <w:t>2</w:t>
      </w:r>
      <w:r w:rsidR="004A7D2B" w:rsidRPr="00D57D3F">
        <w:t>8,7</w:t>
      </w:r>
      <w:r w:rsidRPr="00D57D3F">
        <w:t xml:space="preserve"> kg/obyv. kovu</w:t>
      </w:r>
      <w:r w:rsidR="006F48E7" w:rsidRPr="00D57D3F">
        <w:t xml:space="preserve">, tj. celkově </w:t>
      </w:r>
      <w:r w:rsidR="006F48E7" w:rsidRPr="00D57D3F">
        <w:rPr>
          <w:b/>
        </w:rPr>
        <w:t xml:space="preserve">89,2 </w:t>
      </w:r>
      <w:r w:rsidR="009961A9" w:rsidRPr="00D57D3F">
        <w:rPr>
          <w:b/>
        </w:rPr>
        <w:t xml:space="preserve">kg/obyv. </w:t>
      </w:r>
      <w:r w:rsidR="006F48E7" w:rsidRPr="00D57D3F">
        <w:rPr>
          <w:b/>
        </w:rPr>
        <w:t>využitelných a</w:t>
      </w:r>
      <w:r w:rsidR="007B5F90">
        <w:rPr>
          <w:b/>
        </w:rPr>
        <w:t> </w:t>
      </w:r>
      <w:r w:rsidR="006F48E7" w:rsidRPr="00D57D3F">
        <w:rPr>
          <w:b/>
        </w:rPr>
        <w:t>recyklovatelných odpadů</w:t>
      </w:r>
      <w:r w:rsidRPr="00D57D3F">
        <w:t>. Meziročn</w:t>
      </w:r>
      <w:r w:rsidRPr="00D57D3F">
        <w:t>ě došlo ke zvýšení o</w:t>
      </w:r>
      <w:r w:rsidR="00842125" w:rsidRPr="00D57D3F">
        <w:t> </w:t>
      </w:r>
      <w:r w:rsidR="004A7D2B" w:rsidRPr="00D57D3F">
        <w:t>1,3</w:t>
      </w:r>
      <w:r w:rsidR="00842125" w:rsidRPr="00D57D3F">
        <w:t xml:space="preserve"> kg u plastu, o </w:t>
      </w:r>
      <w:r w:rsidR="004A7D2B" w:rsidRPr="00D57D3F">
        <w:t>1,4</w:t>
      </w:r>
      <w:r w:rsidR="00842125" w:rsidRPr="00D57D3F">
        <w:t xml:space="preserve"> kg u skla, o</w:t>
      </w:r>
      <w:r w:rsidR="007B5F90">
        <w:t> </w:t>
      </w:r>
      <w:r w:rsidR="004A7D2B" w:rsidRPr="00D57D3F">
        <w:t>0,6</w:t>
      </w:r>
      <w:r w:rsidR="007B5F90">
        <w:t> </w:t>
      </w:r>
      <w:r w:rsidR="00842125" w:rsidRPr="00D57D3F">
        <w:t>kg u kovu a ke snížení o</w:t>
      </w:r>
      <w:r w:rsidR="004A7D2B" w:rsidRPr="00D57D3F">
        <w:t xml:space="preserve"> 4</w:t>
      </w:r>
      <w:r w:rsidR="00842125" w:rsidRPr="00D57D3F">
        <w:t xml:space="preserve"> kg u papíru.</w:t>
      </w:r>
    </w:p>
    <w:p w:rsidR="000D6BA6" w:rsidRPr="00D57D3F" w:rsidRDefault="008C12E6" w:rsidP="00E0780F">
      <w:pPr>
        <w:spacing w:after="120" w:line="276" w:lineRule="auto"/>
      </w:pPr>
      <w:r w:rsidRPr="00D57D3F">
        <w:t>V obcích se v režimu odpadů také sbírá textilní odpad, v roce 20</w:t>
      </w:r>
      <w:r w:rsidR="00DC0666" w:rsidRPr="00D57D3F">
        <w:t>19</w:t>
      </w:r>
      <w:r w:rsidRPr="00D57D3F">
        <w:t xml:space="preserve"> občané a domácnosti vytřídili 2,</w:t>
      </w:r>
      <w:r w:rsidR="00FE6B68" w:rsidRPr="00D57D3F">
        <w:t>8</w:t>
      </w:r>
      <w:r w:rsidRPr="00D57D3F">
        <w:t> kg/obyv. a v roce 20</w:t>
      </w:r>
      <w:r w:rsidR="00DC0666" w:rsidRPr="00D57D3F">
        <w:t>20</w:t>
      </w:r>
      <w:r w:rsidRPr="00D57D3F">
        <w:t xml:space="preserve"> to bylo 2,5 kg/obyv. </w:t>
      </w:r>
      <w:r w:rsidRPr="00D57D3F">
        <w:t xml:space="preserve">V současnosti je sběr textilu převážně prováděn v režimu předcházení vzniku odpadů do speciálních kontejnerů soukromých společností nebo charitativních organizací. </w:t>
      </w:r>
      <w:r w:rsidR="00476B3C" w:rsidRPr="00D57D3F">
        <w:t>Aktuálně sbírá nějakou formou textil 6</w:t>
      </w:r>
      <w:r w:rsidR="004A7D2B" w:rsidRPr="00D57D3F">
        <w:t>3</w:t>
      </w:r>
      <w:r w:rsidR="00476B3C" w:rsidRPr="00D57D3F">
        <w:t xml:space="preserve"> % obcí ČR. </w:t>
      </w:r>
      <w:r w:rsidRPr="00D57D3F">
        <w:t>Většina textilu a oděvů je využita a opět</w:t>
      </w:r>
      <w:r w:rsidRPr="00D57D3F">
        <w:t xml:space="preserve">ovně použita k charitativním účelům. </w:t>
      </w:r>
      <w:r w:rsidR="00515436" w:rsidRPr="00D57D3F">
        <w:t xml:space="preserve">Produkce veškerých textilních odpadů se pohybuje okolo </w:t>
      </w:r>
      <w:r w:rsidR="008D0169" w:rsidRPr="00D57D3F">
        <w:t>75</w:t>
      </w:r>
      <w:r w:rsidR="00515436" w:rsidRPr="00D57D3F">
        <w:t xml:space="preserve"> tis.</w:t>
      </w:r>
      <w:r w:rsidR="00DA15EA" w:rsidRPr="00D57D3F">
        <w:t xml:space="preserve"> </w:t>
      </w:r>
      <w:r w:rsidR="00515436" w:rsidRPr="00D57D3F">
        <w:t xml:space="preserve">t </w:t>
      </w:r>
      <w:r w:rsidR="008D0169" w:rsidRPr="00D57D3F">
        <w:t xml:space="preserve">(v roce 2019 to bylo 77 tis. t a v roce 2020 došlo k poklesu na 72 tis. t) </w:t>
      </w:r>
      <w:r w:rsidR="00515436" w:rsidRPr="00D57D3F">
        <w:t>okolo 70 % je využito</w:t>
      </w:r>
      <w:r w:rsidR="008D3771" w:rsidRPr="00D57D3F">
        <w:t>, 20</w:t>
      </w:r>
      <w:r w:rsidR="00515436" w:rsidRPr="00D57D3F">
        <w:t xml:space="preserve"> % skládkováno</w:t>
      </w:r>
      <w:r w:rsidR="008D3771" w:rsidRPr="00D57D3F">
        <w:t xml:space="preserve"> a okolo 7 % energeticky využito</w:t>
      </w:r>
      <w:r w:rsidR="00515436" w:rsidRPr="00D57D3F">
        <w:t xml:space="preserve">. </w:t>
      </w:r>
    </w:p>
    <w:p w:rsidR="00405837" w:rsidRPr="00144737" w:rsidRDefault="008C12E6" w:rsidP="00E0780F">
      <w:pPr>
        <w:spacing w:after="120" w:line="276" w:lineRule="auto"/>
      </w:pPr>
      <w:r w:rsidRPr="00D57D3F">
        <w:t>Třeti</w:t>
      </w:r>
      <w:r w:rsidRPr="00D57D3F">
        <w:t>na obcí také zajištuje pro občany službu a má nastaven systém nakládání i s drobným stavebním odpadem od občanů.</w:t>
      </w:r>
      <w:r>
        <w:t xml:space="preserve"> </w:t>
      </w:r>
    </w:p>
    <w:p w:rsidR="004971A7" w:rsidRPr="00D57D3F" w:rsidRDefault="008C12E6" w:rsidP="00A75945">
      <w:pPr>
        <w:spacing w:after="360" w:line="276" w:lineRule="auto"/>
      </w:pPr>
      <w:r w:rsidRPr="00D57D3F">
        <w:lastRenderedPageBreak/>
        <w:t>U komunálního odpadu dále došlo k</w:t>
      </w:r>
      <w:r w:rsidR="005078ED" w:rsidRPr="00D57D3F">
        <w:t xml:space="preserve"> mírnému </w:t>
      </w:r>
      <w:r w:rsidR="006F48E7" w:rsidRPr="00D57D3F">
        <w:t xml:space="preserve">nárůstu </w:t>
      </w:r>
      <w:r w:rsidRPr="00D57D3F">
        <w:rPr>
          <w:b/>
        </w:rPr>
        <w:t>energetického využití</w:t>
      </w:r>
      <w:r w:rsidR="004C2B97" w:rsidRPr="00D57D3F">
        <w:rPr>
          <w:b/>
        </w:rPr>
        <w:t xml:space="preserve">. </w:t>
      </w:r>
      <w:r w:rsidR="003B0CA6" w:rsidRPr="00D57D3F">
        <w:t xml:space="preserve">Energetické využití </w:t>
      </w:r>
      <w:r w:rsidR="004C2B97" w:rsidRPr="00D57D3F">
        <w:t xml:space="preserve">komunálních odpadů </w:t>
      </w:r>
      <w:r w:rsidR="003B0CA6" w:rsidRPr="00D57D3F">
        <w:t xml:space="preserve">se již dlouhodobě pohybuje okolo 12 %. </w:t>
      </w:r>
      <w:r w:rsidRPr="00D57D3F">
        <w:rPr>
          <w:b/>
        </w:rPr>
        <w:t>V roce 20</w:t>
      </w:r>
      <w:r w:rsidR="006F48E7" w:rsidRPr="00D57D3F">
        <w:rPr>
          <w:b/>
        </w:rPr>
        <w:t xml:space="preserve">20 </w:t>
      </w:r>
      <w:r w:rsidRPr="00D57D3F">
        <w:rPr>
          <w:b/>
        </w:rPr>
        <w:t>bylo energeticky využito 1</w:t>
      </w:r>
      <w:r w:rsidR="006F48E7" w:rsidRPr="00D57D3F">
        <w:rPr>
          <w:b/>
        </w:rPr>
        <w:t>2</w:t>
      </w:r>
      <w:r w:rsidRPr="00D57D3F">
        <w:rPr>
          <w:b/>
        </w:rPr>
        <w:t>,</w:t>
      </w:r>
      <w:r w:rsidR="006F48E7" w:rsidRPr="00D57D3F">
        <w:rPr>
          <w:b/>
        </w:rPr>
        <w:t>6</w:t>
      </w:r>
      <w:r w:rsidRPr="00D57D3F">
        <w:rPr>
          <w:b/>
        </w:rPr>
        <w:t xml:space="preserve"> % komunálních odpadů</w:t>
      </w:r>
      <w:r w:rsidR="006746B7" w:rsidRPr="00D57D3F">
        <w:rPr>
          <w:b/>
        </w:rPr>
        <w:t>, v roce 201</w:t>
      </w:r>
      <w:r w:rsidR="006F48E7" w:rsidRPr="00D57D3F">
        <w:rPr>
          <w:b/>
        </w:rPr>
        <w:t>9</w:t>
      </w:r>
      <w:r w:rsidR="006746B7" w:rsidRPr="00D57D3F">
        <w:rPr>
          <w:b/>
        </w:rPr>
        <w:t xml:space="preserve"> to bylo </w:t>
      </w:r>
      <w:r w:rsidR="00A34AD8" w:rsidRPr="00D57D3F">
        <w:rPr>
          <w:b/>
        </w:rPr>
        <w:t>1</w:t>
      </w:r>
      <w:r w:rsidR="006F48E7" w:rsidRPr="00D57D3F">
        <w:rPr>
          <w:b/>
        </w:rPr>
        <w:t>1,7</w:t>
      </w:r>
      <w:r w:rsidR="006746B7" w:rsidRPr="00D57D3F">
        <w:rPr>
          <w:b/>
        </w:rPr>
        <w:t xml:space="preserve"> %</w:t>
      </w:r>
      <w:r w:rsidRPr="00D57D3F">
        <w:t>. Meziročně 201</w:t>
      </w:r>
      <w:r w:rsidR="006F48E7" w:rsidRPr="00D57D3F">
        <w:t>9</w:t>
      </w:r>
      <w:r w:rsidR="00FE43F0" w:rsidRPr="00D57D3F">
        <w:t>-</w:t>
      </w:r>
      <w:r w:rsidRPr="00D57D3F">
        <w:t>20</w:t>
      </w:r>
      <w:r w:rsidR="006F48E7" w:rsidRPr="00D57D3F">
        <w:t>20</w:t>
      </w:r>
      <w:r w:rsidRPr="00D57D3F">
        <w:t xml:space="preserve"> byl zaznamenán </w:t>
      </w:r>
      <w:r w:rsidR="004B1984" w:rsidRPr="00D57D3F">
        <w:t xml:space="preserve">malý </w:t>
      </w:r>
      <w:r w:rsidR="006F48E7" w:rsidRPr="00D57D3F">
        <w:t xml:space="preserve">nárůst </w:t>
      </w:r>
      <w:r w:rsidRPr="00D57D3F">
        <w:t xml:space="preserve">množství energeticky využitých komunálních odpadů o </w:t>
      </w:r>
      <w:r w:rsidR="008934CF" w:rsidRPr="00D57D3F">
        <w:t>32</w:t>
      </w:r>
      <w:r w:rsidR="002B1C30" w:rsidRPr="00D57D3F">
        <w:t>,</w:t>
      </w:r>
      <w:r w:rsidR="008934CF" w:rsidRPr="00D57D3F">
        <w:t>1</w:t>
      </w:r>
      <w:r w:rsidR="00FE43F0" w:rsidRPr="00D57D3F">
        <w:t> </w:t>
      </w:r>
      <w:r w:rsidRPr="00D57D3F">
        <w:t xml:space="preserve">tis. t na celkových </w:t>
      </w:r>
      <w:r w:rsidR="008934CF" w:rsidRPr="00D57D3F">
        <w:t>721,2</w:t>
      </w:r>
      <w:r w:rsidRPr="00D57D3F">
        <w:t xml:space="preserve"> tis. t.</w:t>
      </w:r>
      <w:r w:rsidR="009B440B" w:rsidRPr="00D57D3F">
        <w:t xml:space="preserve"> </w:t>
      </w:r>
      <w:r w:rsidR="00813406" w:rsidRPr="00D57D3F">
        <w:t xml:space="preserve">Komunální odpady nejsou spalovány </w:t>
      </w:r>
      <w:r w:rsidR="008934CF" w:rsidRPr="00D57D3F">
        <w:t>(v podílu nulov</w:t>
      </w:r>
      <w:r w:rsidR="00813406" w:rsidRPr="00D57D3F">
        <w:t>á hodnota</w:t>
      </w:r>
      <w:r w:rsidR="008934CF" w:rsidRPr="00D57D3F">
        <w:t>)</w:t>
      </w:r>
      <w:r w:rsidR="00813406" w:rsidRPr="00D57D3F">
        <w:t>.</w:t>
      </w:r>
      <w:r w:rsidR="00D14782" w:rsidRPr="00D57D3F">
        <w:t xml:space="preserve"> Energeticky využíváno v roce 2020 bylo 618,7 tis. t směsného komunálního odpadu a v roce 2019 to bylo 596 tis. t. Meziročně množství mírně vzrostlo o 22,7 tis. t. </w:t>
      </w:r>
    </w:p>
    <w:p w:rsidR="00D429CC" w:rsidRPr="00AD0EEA" w:rsidRDefault="008C12E6" w:rsidP="00D429CC">
      <w:pPr>
        <w:rPr>
          <w:b/>
        </w:rPr>
      </w:pPr>
      <w:r w:rsidRPr="00AD0EEA">
        <w:rPr>
          <w:b/>
        </w:rPr>
        <w:t xml:space="preserve">Graf </w:t>
      </w:r>
      <w:r w:rsidR="00A51A91" w:rsidRPr="00AD0EEA">
        <w:rPr>
          <w:b/>
        </w:rPr>
        <w:t>3</w:t>
      </w:r>
      <w:r w:rsidR="00D22AF5" w:rsidRPr="00AD0EEA">
        <w:rPr>
          <w:b/>
        </w:rPr>
        <w:t>:</w:t>
      </w:r>
    </w:p>
    <w:p w:rsidR="00301C13" w:rsidRPr="00301C13" w:rsidRDefault="008C12E6" w:rsidP="00301C13">
      <w:pPr>
        <w:spacing w:after="60"/>
        <w:rPr>
          <w:b/>
        </w:rPr>
      </w:pPr>
      <w:bookmarkStart w:id="15" w:name="_Hlk100422596"/>
      <w:r w:rsidRPr="00AD0EEA">
        <w:rPr>
          <w:b/>
        </w:rPr>
        <w:t>Celková produkce</w:t>
      </w:r>
      <w:r w:rsidRPr="00D57D3F">
        <w:rPr>
          <w:b/>
        </w:rPr>
        <w:t xml:space="preserve"> komuná</w:t>
      </w:r>
      <w:r w:rsidRPr="00D57D3F">
        <w:rPr>
          <w:b/>
        </w:rPr>
        <w:t>lních odpadů v ČR [tis. t], produkce komunálního a směsného komunálního odpadu v přepočtu na obyvatele v ČR [kg.obyv.-1], 2009</w:t>
      </w:r>
      <w:r w:rsidR="00763C35" w:rsidRPr="00D57D3F">
        <w:rPr>
          <w:b/>
        </w:rPr>
        <w:t>-</w:t>
      </w:r>
      <w:r w:rsidR="00DF1B57" w:rsidRPr="00D57D3F">
        <w:rPr>
          <w:b/>
        </w:rPr>
        <w:t>2020</w:t>
      </w:r>
    </w:p>
    <w:p w:rsidR="00301C13" w:rsidRPr="003D577C" w:rsidRDefault="00301C13" w:rsidP="007B1F03">
      <w:pPr>
        <w:spacing w:after="60"/>
        <w:rPr>
          <w:b/>
        </w:rPr>
      </w:pPr>
    </w:p>
    <w:p w:rsidR="00CD2FC2" w:rsidRDefault="008C12E6" w:rsidP="004C31CD">
      <w:pPr>
        <w:rPr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5995035" cy="3733800"/>
            <wp:effectExtent l="0" t="0" r="5715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2F1866F8-8525-4B90-8446-9A9B398991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2FC2" w:rsidRDefault="00CD2FC2" w:rsidP="004C31CD">
      <w:pPr>
        <w:rPr>
          <w:i/>
          <w:sz w:val="18"/>
          <w:szCs w:val="18"/>
        </w:rPr>
      </w:pPr>
    </w:p>
    <w:p w:rsidR="004C31CD" w:rsidRPr="000F03D0" w:rsidRDefault="008C12E6" w:rsidP="004C31CD">
      <w:pPr>
        <w:rPr>
          <w:i/>
          <w:sz w:val="18"/>
          <w:szCs w:val="18"/>
        </w:rPr>
      </w:pPr>
      <w:r w:rsidRPr="000F03D0">
        <w:rPr>
          <w:i/>
          <w:sz w:val="18"/>
          <w:szCs w:val="18"/>
        </w:rPr>
        <w:t xml:space="preserve">Data byla stanovena </w:t>
      </w:r>
      <w:bookmarkEnd w:id="15"/>
      <w:r w:rsidRPr="000F03D0">
        <w:rPr>
          <w:i/>
          <w:sz w:val="18"/>
          <w:szCs w:val="18"/>
        </w:rPr>
        <w:t xml:space="preserve">podle metodiky Matematické vyjádření výpočtu „soustavy indikátorů OH“ platné pro daný rok. </w:t>
      </w:r>
    </w:p>
    <w:p w:rsidR="004C31CD" w:rsidRPr="000F03D0" w:rsidRDefault="008C12E6" w:rsidP="004C31CD">
      <w:pPr>
        <w:rPr>
          <w:i/>
          <w:sz w:val="18"/>
          <w:szCs w:val="18"/>
        </w:rPr>
      </w:pPr>
      <w:r w:rsidRPr="000F03D0">
        <w:rPr>
          <w:i/>
          <w:sz w:val="18"/>
          <w:szCs w:val="18"/>
        </w:rPr>
        <w:t xml:space="preserve">Zdroj: </w:t>
      </w:r>
      <w:r w:rsidR="006746B7">
        <w:rPr>
          <w:i/>
          <w:sz w:val="18"/>
          <w:szCs w:val="18"/>
        </w:rPr>
        <w:t>ISOH</w:t>
      </w:r>
      <w:r w:rsidR="00300CC4">
        <w:rPr>
          <w:i/>
          <w:sz w:val="18"/>
          <w:szCs w:val="18"/>
        </w:rPr>
        <w:t>,</w:t>
      </w:r>
      <w:r w:rsidR="006746B7">
        <w:rPr>
          <w:i/>
          <w:sz w:val="18"/>
          <w:szCs w:val="18"/>
        </w:rPr>
        <w:t xml:space="preserve"> </w:t>
      </w:r>
      <w:r w:rsidRPr="000F03D0">
        <w:rPr>
          <w:i/>
          <w:sz w:val="18"/>
          <w:szCs w:val="18"/>
        </w:rPr>
        <w:t>MŽP</w:t>
      </w:r>
      <w:r w:rsidR="006746B7">
        <w:rPr>
          <w:i/>
          <w:sz w:val="18"/>
          <w:szCs w:val="18"/>
        </w:rPr>
        <w:t xml:space="preserve">, </w:t>
      </w:r>
      <w:r w:rsidRPr="000F03D0">
        <w:rPr>
          <w:i/>
          <w:sz w:val="18"/>
          <w:szCs w:val="18"/>
        </w:rPr>
        <w:t xml:space="preserve">CENIA, </w:t>
      </w:r>
      <w:r w:rsidR="00CA3FD7">
        <w:rPr>
          <w:i/>
          <w:sz w:val="18"/>
          <w:szCs w:val="18"/>
        </w:rPr>
        <w:t>(</w:t>
      </w:r>
      <w:r w:rsidR="00CA3FD7" w:rsidRPr="000F03D0">
        <w:rPr>
          <w:i/>
          <w:sz w:val="18"/>
          <w:szCs w:val="18"/>
        </w:rPr>
        <w:t>ČSÚ</w:t>
      </w:r>
      <w:r w:rsidR="00CA3FD7">
        <w:rPr>
          <w:i/>
          <w:sz w:val="18"/>
          <w:szCs w:val="18"/>
        </w:rPr>
        <w:t xml:space="preserve"> – počet obyvatel ČR)</w:t>
      </w:r>
      <w:r w:rsidR="00DF1B57">
        <w:rPr>
          <w:i/>
          <w:sz w:val="18"/>
          <w:szCs w:val="18"/>
        </w:rPr>
        <w:t xml:space="preserve">, </w:t>
      </w:r>
      <w:r w:rsidR="005B0B58">
        <w:rPr>
          <w:i/>
          <w:sz w:val="18"/>
          <w:szCs w:val="18"/>
        </w:rPr>
        <w:t>Zpráva o životním prostředí 2020</w:t>
      </w:r>
    </w:p>
    <w:p w:rsidR="009B440B" w:rsidRDefault="009B440B" w:rsidP="00D429CC">
      <w:pPr>
        <w:rPr>
          <w:b/>
        </w:rPr>
      </w:pPr>
    </w:p>
    <w:p w:rsidR="002335E8" w:rsidRDefault="002335E8" w:rsidP="00D429CC">
      <w:pPr>
        <w:rPr>
          <w:b/>
          <w:highlight w:val="yellow"/>
        </w:rPr>
      </w:pPr>
      <w:bookmarkStart w:id="16" w:name="_Hlk101799694"/>
    </w:p>
    <w:p w:rsidR="002335E8" w:rsidRDefault="002335E8" w:rsidP="00D429CC">
      <w:pPr>
        <w:rPr>
          <w:b/>
          <w:highlight w:val="yellow"/>
        </w:rPr>
      </w:pPr>
    </w:p>
    <w:p w:rsidR="002335E8" w:rsidRDefault="002335E8" w:rsidP="00D429CC">
      <w:pPr>
        <w:rPr>
          <w:b/>
          <w:highlight w:val="yellow"/>
        </w:rPr>
      </w:pPr>
    </w:p>
    <w:p w:rsidR="002335E8" w:rsidRDefault="002335E8" w:rsidP="00D429CC">
      <w:pPr>
        <w:rPr>
          <w:b/>
          <w:highlight w:val="yellow"/>
        </w:rPr>
      </w:pPr>
    </w:p>
    <w:p w:rsidR="002335E8" w:rsidRDefault="002335E8" w:rsidP="00D429CC">
      <w:pPr>
        <w:rPr>
          <w:b/>
          <w:highlight w:val="yellow"/>
        </w:rPr>
      </w:pPr>
    </w:p>
    <w:p w:rsidR="002335E8" w:rsidRDefault="002335E8" w:rsidP="00D429CC">
      <w:pPr>
        <w:rPr>
          <w:b/>
          <w:highlight w:val="yellow"/>
        </w:rPr>
      </w:pPr>
    </w:p>
    <w:p w:rsidR="002335E8" w:rsidRDefault="002335E8" w:rsidP="00D429CC">
      <w:pPr>
        <w:rPr>
          <w:b/>
          <w:highlight w:val="yellow"/>
        </w:rPr>
      </w:pPr>
    </w:p>
    <w:p w:rsidR="002335E8" w:rsidRDefault="002335E8" w:rsidP="00D429CC">
      <w:pPr>
        <w:rPr>
          <w:b/>
          <w:highlight w:val="yellow"/>
        </w:rPr>
      </w:pPr>
    </w:p>
    <w:p w:rsidR="002335E8" w:rsidRDefault="002335E8" w:rsidP="00D429CC">
      <w:pPr>
        <w:rPr>
          <w:b/>
          <w:highlight w:val="yellow"/>
        </w:rPr>
      </w:pPr>
    </w:p>
    <w:p w:rsidR="00D429CC" w:rsidRPr="00AD0EEA" w:rsidRDefault="008C12E6" w:rsidP="00D429CC">
      <w:pPr>
        <w:rPr>
          <w:b/>
        </w:rPr>
      </w:pPr>
      <w:r w:rsidRPr="00AD0EEA">
        <w:rPr>
          <w:b/>
        </w:rPr>
        <w:t xml:space="preserve">Obr. </w:t>
      </w:r>
      <w:r w:rsidR="008D3DF2" w:rsidRPr="00AD0EEA">
        <w:rPr>
          <w:b/>
        </w:rPr>
        <w:t>2</w:t>
      </w:r>
    </w:p>
    <w:p w:rsidR="00301C13" w:rsidRPr="00301C13" w:rsidRDefault="008C12E6" w:rsidP="00301C13">
      <w:pPr>
        <w:rPr>
          <w:b/>
        </w:rPr>
      </w:pPr>
      <w:r w:rsidRPr="00AD0EEA">
        <w:rPr>
          <w:b/>
        </w:rPr>
        <w:t>Celková produkce komunálních odpadů</w:t>
      </w:r>
      <w:r w:rsidR="006C56BB" w:rsidRPr="00AD0EEA">
        <w:rPr>
          <w:b/>
        </w:rPr>
        <w:t xml:space="preserve"> v krajích ČR</w:t>
      </w:r>
      <w:r w:rsidRPr="00AD0EEA">
        <w:rPr>
          <w:b/>
        </w:rPr>
        <w:t>, produkce směsného komunálního odpadu v</w:t>
      </w:r>
      <w:r w:rsidRPr="00D57D3F">
        <w:rPr>
          <w:b/>
        </w:rPr>
        <w:t xml:space="preserve"> krajích ČR [tis. t], produkce komunálních odpadů na obyvatele v krajích ČR [kg.obyv.-1], 20</w:t>
      </w:r>
      <w:r w:rsidR="009C0480" w:rsidRPr="00D57D3F">
        <w:rPr>
          <w:b/>
        </w:rPr>
        <w:t>20</w:t>
      </w:r>
    </w:p>
    <w:bookmarkEnd w:id="16"/>
    <w:p w:rsidR="00301C13" w:rsidRPr="003D577C" w:rsidRDefault="008C12E6" w:rsidP="00D429CC">
      <w:r>
        <w:rPr>
          <w:noProof/>
          <w:lang w:eastAsia="cs-CZ"/>
        </w:rPr>
        <w:drawing>
          <wp:inline distT="0" distB="0" distL="0" distR="0">
            <wp:extent cx="5759450" cy="2393075"/>
            <wp:effectExtent l="0" t="0" r="0" b="7620"/>
            <wp:docPr id="8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D2915724-44B5-4905-A139-D4DC2C8C3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43070" name="Obrázek 2">
                      <a:extLst>
                        <a:ext uri="{FF2B5EF4-FFF2-40B4-BE49-F238E27FC236}">
                          <a16:creationId xmlns:a16="http://schemas.microsoft.com/office/drawing/2014/main" id="{D2915724-44B5-4905-A139-D4DC2C8C3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CC" w:rsidRPr="003D577C" w:rsidRDefault="00D429CC" w:rsidP="00D429CC"/>
    <w:p w:rsidR="004C31CD" w:rsidRPr="00D57D3F" w:rsidRDefault="008C12E6" w:rsidP="004C31CD">
      <w:pPr>
        <w:rPr>
          <w:i/>
          <w:sz w:val="18"/>
          <w:szCs w:val="18"/>
        </w:rPr>
      </w:pPr>
      <w:r w:rsidRPr="00D57D3F">
        <w:rPr>
          <w:i/>
          <w:sz w:val="18"/>
          <w:szCs w:val="18"/>
        </w:rPr>
        <w:t xml:space="preserve">Data byla stanovena podle metodiky Matematické vyjádření výpočtu „soustavy indikátorů OH“ platné pro daný rok. </w:t>
      </w:r>
    </w:p>
    <w:p w:rsidR="004C31CD" w:rsidRPr="000F03D0" w:rsidRDefault="008C12E6" w:rsidP="004C31CD">
      <w:pPr>
        <w:rPr>
          <w:i/>
          <w:sz w:val="18"/>
          <w:szCs w:val="18"/>
        </w:rPr>
      </w:pPr>
      <w:r w:rsidRPr="00D57D3F">
        <w:rPr>
          <w:i/>
          <w:sz w:val="18"/>
          <w:szCs w:val="18"/>
        </w:rPr>
        <w:t xml:space="preserve">Zdroj: </w:t>
      </w:r>
      <w:r w:rsidR="006746B7" w:rsidRPr="00D57D3F">
        <w:rPr>
          <w:i/>
          <w:sz w:val="18"/>
          <w:szCs w:val="18"/>
        </w:rPr>
        <w:t>ISOH</w:t>
      </w:r>
      <w:r w:rsidR="00300CC4">
        <w:rPr>
          <w:i/>
          <w:sz w:val="18"/>
          <w:szCs w:val="18"/>
        </w:rPr>
        <w:t>,</w:t>
      </w:r>
      <w:r w:rsidR="006746B7" w:rsidRPr="00D57D3F">
        <w:rPr>
          <w:i/>
          <w:sz w:val="18"/>
          <w:szCs w:val="18"/>
        </w:rPr>
        <w:t xml:space="preserve"> </w:t>
      </w:r>
      <w:r w:rsidRPr="00D57D3F">
        <w:rPr>
          <w:i/>
          <w:sz w:val="18"/>
          <w:szCs w:val="18"/>
        </w:rPr>
        <w:t>MŽP</w:t>
      </w:r>
      <w:r w:rsidR="006746B7" w:rsidRPr="00D57D3F">
        <w:rPr>
          <w:i/>
          <w:sz w:val="18"/>
          <w:szCs w:val="18"/>
        </w:rPr>
        <w:t xml:space="preserve">, </w:t>
      </w:r>
      <w:r w:rsidRPr="00D57D3F">
        <w:rPr>
          <w:i/>
          <w:sz w:val="18"/>
          <w:szCs w:val="18"/>
        </w:rPr>
        <w:t>CENIA, ČSÚ</w:t>
      </w:r>
      <w:r w:rsidR="009C0480" w:rsidRPr="00D57D3F">
        <w:rPr>
          <w:i/>
          <w:sz w:val="18"/>
          <w:szCs w:val="18"/>
        </w:rPr>
        <w:t>, Statistická ročenka 2020</w:t>
      </w:r>
    </w:p>
    <w:p w:rsidR="00E751D9" w:rsidRDefault="00E751D9">
      <w:pPr>
        <w:spacing w:after="200" w:line="276" w:lineRule="auto"/>
        <w:jc w:val="left"/>
        <w:rPr>
          <w:b/>
        </w:rPr>
      </w:pPr>
    </w:p>
    <w:p w:rsidR="003B2EEA" w:rsidRPr="00D57D3F" w:rsidRDefault="008C12E6" w:rsidP="00F36B7A">
      <w:pPr>
        <w:spacing w:after="360" w:line="276" w:lineRule="auto"/>
      </w:pPr>
      <w:r w:rsidRPr="00D57D3F">
        <w:t>Aktuální situace v oblasti nakládání s komunálními odpady v ČR není vyhovující</w:t>
      </w:r>
      <w:r w:rsidR="001C6EB8" w:rsidRPr="00D57D3F">
        <w:t xml:space="preserve">, podíl </w:t>
      </w:r>
      <w:r w:rsidRPr="00D57D3F">
        <w:t xml:space="preserve">skládkování komunálních odpadů je </w:t>
      </w:r>
      <w:r w:rsidR="00EF310C" w:rsidRPr="00D57D3F">
        <w:t>stále vysok</w:t>
      </w:r>
      <w:r w:rsidR="001C6EB8" w:rsidRPr="00D57D3F">
        <w:t xml:space="preserve">ý dosahuje až </w:t>
      </w:r>
      <w:r w:rsidR="001E684B" w:rsidRPr="00D57D3F">
        <w:t xml:space="preserve">téměř </w:t>
      </w:r>
      <w:r w:rsidR="001C6EB8" w:rsidRPr="00D57D3F">
        <w:t>50 % a meziročně množství skládkovaných komunálních odpadů opět vzrostlo</w:t>
      </w:r>
      <w:r w:rsidR="00F31D0E" w:rsidRPr="00D57D3F">
        <w:t xml:space="preserve"> cca o 40 tis</w:t>
      </w:r>
      <w:r w:rsidR="001C6EB8" w:rsidRPr="00D57D3F">
        <w:t>.</w:t>
      </w:r>
      <w:r w:rsidR="00F31D0E" w:rsidRPr="00D57D3F">
        <w:t xml:space="preserve"> tun. </w:t>
      </w:r>
      <w:r w:rsidR="001C6EB8" w:rsidRPr="00D57D3F">
        <w:t xml:space="preserve"> </w:t>
      </w:r>
      <w:r w:rsidR="00195C99" w:rsidRPr="00D57D3F">
        <w:t xml:space="preserve">Prioritou </w:t>
      </w:r>
      <w:r w:rsidR="001C6EB8" w:rsidRPr="00D57D3F">
        <w:t xml:space="preserve">ČR </w:t>
      </w:r>
      <w:r w:rsidRPr="00D57D3F">
        <w:t xml:space="preserve">je razantnější snižování </w:t>
      </w:r>
      <w:r w:rsidR="001C6EB8" w:rsidRPr="00D57D3F">
        <w:t>skládkování komunálních odpadů</w:t>
      </w:r>
      <w:r w:rsidRPr="00D57D3F">
        <w:t xml:space="preserve"> a naproti tomu zvyšování jejich materiálového a rovněž energetického využití, a to v souladu s principy oběhového hospodářství a s potřebou naplnění evropských cílů oběhového hospodářst</w:t>
      </w:r>
      <w:r w:rsidRPr="00D57D3F">
        <w:t xml:space="preserve">ví. </w:t>
      </w:r>
      <w:r w:rsidR="001C6EB8" w:rsidRPr="00D57D3F">
        <w:t xml:space="preserve">Vhodnými opatřeními jsou </w:t>
      </w:r>
      <w:r w:rsidRPr="00D57D3F">
        <w:t xml:space="preserve">mimo jiné zvýšení poplatku za </w:t>
      </w:r>
      <w:r w:rsidR="00E9024D" w:rsidRPr="00D57D3F">
        <w:t>uložení odpadů na skládky</w:t>
      </w:r>
      <w:r w:rsidR="00F31D0E" w:rsidRPr="00D57D3F">
        <w:t xml:space="preserve">, </w:t>
      </w:r>
      <w:r w:rsidRPr="00D57D3F">
        <w:t>posílení třídění komunálních odpadů</w:t>
      </w:r>
      <w:r w:rsidR="00F31D0E" w:rsidRPr="00D57D3F">
        <w:t>, budování infrastruktury a zpracovatelských zařízení</w:t>
      </w:r>
      <w:r w:rsidRPr="00D57D3F">
        <w:t>.</w:t>
      </w:r>
    </w:p>
    <w:p w:rsidR="0075439F" w:rsidRPr="00D57D3F" w:rsidRDefault="008C12E6" w:rsidP="0075439F">
      <w:pPr>
        <w:spacing w:after="120" w:line="276" w:lineRule="auto"/>
        <w:rPr>
          <w:b/>
          <w:bCs/>
          <w:sz w:val="26"/>
          <w:szCs w:val="26"/>
          <w:u w:val="single"/>
        </w:rPr>
      </w:pPr>
      <w:r w:rsidRPr="00D57D3F">
        <w:rPr>
          <w:b/>
          <w:bCs/>
          <w:sz w:val="26"/>
          <w:szCs w:val="26"/>
          <w:u w:val="single"/>
        </w:rPr>
        <w:t>Biologicky rozložitelné komunální odpady</w:t>
      </w:r>
    </w:p>
    <w:p w:rsidR="009B5B05" w:rsidRPr="00D57D3F" w:rsidRDefault="008C12E6" w:rsidP="00E50F97">
      <w:pPr>
        <w:spacing w:after="120" w:line="276" w:lineRule="auto"/>
        <w:rPr>
          <w:bCs/>
        </w:rPr>
      </w:pPr>
      <w:r w:rsidRPr="00D57D3F">
        <w:rPr>
          <w:bCs/>
        </w:rPr>
        <w:t xml:space="preserve">Snaha ČR je dosáhnout snížení množství </w:t>
      </w:r>
      <w:r w:rsidRPr="00D57D3F">
        <w:rPr>
          <w:bCs/>
        </w:rPr>
        <w:t>biologicky rozložitelných komunálních odpadů (dále jen „BRKO“) uložených na skládky v cílovém roce 2020, a to zejména legislativní</w:t>
      </w:r>
      <w:r w:rsidR="001C18BA" w:rsidRPr="00D57D3F">
        <w:rPr>
          <w:bCs/>
        </w:rPr>
        <w:t xml:space="preserve">mi změnami </w:t>
      </w:r>
      <w:r w:rsidRPr="00D57D3F">
        <w:rPr>
          <w:bCs/>
        </w:rPr>
        <w:t>a</w:t>
      </w:r>
      <w:r w:rsidR="001C18BA" w:rsidRPr="00D57D3F">
        <w:rPr>
          <w:bCs/>
        </w:rPr>
        <w:t> </w:t>
      </w:r>
      <w:r w:rsidRPr="00D57D3F">
        <w:rPr>
          <w:bCs/>
        </w:rPr>
        <w:t>dotační podporou.</w:t>
      </w:r>
      <w:r w:rsidR="00CE2B4C" w:rsidRPr="00D57D3F">
        <w:rPr>
          <w:bCs/>
        </w:rPr>
        <w:t xml:space="preserve"> </w:t>
      </w:r>
    </w:p>
    <w:p w:rsidR="00E50F97" w:rsidRPr="00D57D3F" w:rsidRDefault="008C12E6" w:rsidP="00E50F97">
      <w:pPr>
        <w:spacing w:after="120" w:line="276" w:lineRule="auto"/>
      </w:pPr>
      <w:r w:rsidRPr="00D57D3F">
        <w:rPr>
          <w:bCs/>
        </w:rPr>
        <w:t>Vzhledem k potřebě zvýšit využívání BRKO</w:t>
      </w:r>
      <w:r w:rsidR="003149DA" w:rsidRPr="00D57D3F">
        <w:rPr>
          <w:bCs/>
        </w:rPr>
        <w:t xml:space="preserve"> </w:t>
      </w:r>
      <w:r w:rsidRPr="00D57D3F">
        <w:rPr>
          <w:bCs/>
        </w:rPr>
        <w:t xml:space="preserve">zavedl zákon č. 229/2014 Sb. </w:t>
      </w:r>
      <w:r w:rsidR="0095388C" w:rsidRPr="00D57D3F">
        <w:rPr>
          <w:bCs/>
        </w:rPr>
        <w:t xml:space="preserve">již </w:t>
      </w:r>
      <w:r w:rsidRPr="00D57D3F">
        <w:rPr>
          <w:bCs/>
        </w:rPr>
        <w:t>od roku 2015 obcím p</w:t>
      </w:r>
      <w:r w:rsidRPr="00D57D3F">
        <w:rPr>
          <w:bCs/>
        </w:rPr>
        <w:t>ovinnost zajistit místa k odkládání BRKO rostlinného původu</w:t>
      </w:r>
      <w:r w:rsidR="009368AA" w:rsidRPr="00D57D3F">
        <w:rPr>
          <w:bCs/>
        </w:rPr>
        <w:t>. V</w:t>
      </w:r>
      <w:r w:rsidRPr="00D57D3F">
        <w:rPr>
          <w:bCs/>
        </w:rPr>
        <w:t xml:space="preserve"> roce 2018 připravena novela </w:t>
      </w:r>
      <w:r w:rsidR="009368AA" w:rsidRPr="00D57D3F">
        <w:rPr>
          <w:bCs/>
        </w:rPr>
        <w:t xml:space="preserve">vyhlášky </w:t>
      </w:r>
      <w:r w:rsidRPr="00D57D3F">
        <w:rPr>
          <w:bCs/>
        </w:rPr>
        <w:t xml:space="preserve">pro </w:t>
      </w:r>
      <w:r w:rsidRPr="00D57D3F">
        <w:t>zvýšení účinnosti odděleného sběru biologicky rozložitelných odpadů</w:t>
      </w:r>
      <w:r w:rsidR="009368AA" w:rsidRPr="00D57D3F">
        <w:t xml:space="preserve">, </w:t>
      </w:r>
      <w:r w:rsidR="009368AA" w:rsidRPr="00D57D3F">
        <w:rPr>
          <w:bCs/>
        </w:rPr>
        <w:t>která nabyla účinnosti v roce 2019</w:t>
      </w:r>
      <w:r w:rsidRPr="00D57D3F">
        <w:t xml:space="preserve">. </w:t>
      </w:r>
      <w:r w:rsidR="009368AA" w:rsidRPr="00D57D3F">
        <w:t xml:space="preserve">Platná </w:t>
      </w:r>
      <w:r w:rsidRPr="00D57D3F">
        <w:t>vyhláška č. 321/2014 Sb., o</w:t>
      </w:r>
      <w:r w:rsidR="008E2D17" w:rsidRPr="00D57D3F">
        <w:t> </w:t>
      </w:r>
      <w:r w:rsidRPr="00D57D3F">
        <w:t>rozsahu a zp</w:t>
      </w:r>
      <w:r w:rsidRPr="00D57D3F">
        <w:t>ůsobu zajištění odděleného soustřeďování složek komunálních odpadů</w:t>
      </w:r>
      <w:r w:rsidR="009368AA" w:rsidRPr="00D57D3F">
        <w:t xml:space="preserve"> stanovuje v roce 2020 p</w:t>
      </w:r>
      <w:r w:rsidRPr="00D57D3F">
        <w:t xml:space="preserve">ovinnost pro obce zajistit celoročně místa pro oddělené soustřeďování biologických odpadů rostlinného </w:t>
      </w:r>
      <w:r w:rsidRPr="00D57D3F">
        <w:lastRenderedPageBreak/>
        <w:t>původu</w:t>
      </w:r>
      <w:r w:rsidR="009368AA" w:rsidRPr="00D57D3F">
        <w:t xml:space="preserve">. Dále tato vyhláška stanovuje </w:t>
      </w:r>
      <w:r w:rsidRPr="00D57D3F">
        <w:t xml:space="preserve">povinnost pro </w:t>
      </w:r>
      <w:bookmarkStart w:id="17" w:name="_Hlk101600901"/>
      <w:r w:rsidRPr="00D57D3F">
        <w:t>obce zajistit</w:t>
      </w:r>
      <w:r w:rsidRPr="00D57D3F">
        <w:t xml:space="preserve"> celoročně místa pro oddělené soustřeďování odpadních jedlých olejů a tuků, a to od 1. ledna 2020.</w:t>
      </w:r>
      <w:r w:rsidR="00A75214" w:rsidRPr="00D57D3F">
        <w:t xml:space="preserve"> </w:t>
      </w:r>
    </w:p>
    <w:p w:rsidR="001B5539" w:rsidRPr="00D57D3F" w:rsidRDefault="008C12E6" w:rsidP="00E50F97">
      <w:pPr>
        <w:spacing w:after="120" w:line="276" w:lineRule="auto"/>
      </w:pPr>
      <w:r w:rsidRPr="00D57D3F">
        <w:t xml:space="preserve">Díky intenzifikaci sběru v obcích roste produkce BRKO. </w:t>
      </w:r>
      <w:r w:rsidRPr="00D57D3F">
        <w:rPr>
          <w:rFonts w:ascii="Calibri" w:hAnsi="Calibri" w:cs="Calibri"/>
          <w:color w:val="000000"/>
          <w:sz w:val="23"/>
          <w:szCs w:val="23"/>
        </w:rPr>
        <w:t xml:space="preserve">Množství bioodpadů odděleně sebraných (vytříděných) v obcích 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>kontinuálně vzrůstá</w:t>
      </w:r>
      <w:r w:rsidR="00567913" w:rsidRPr="00D57D3F">
        <w:rPr>
          <w:rFonts w:ascii="Calibri" w:hAnsi="Calibri" w:cs="Calibri"/>
          <w:color w:val="000000"/>
          <w:sz w:val="23"/>
          <w:szCs w:val="23"/>
        </w:rPr>
        <w:t>,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57D3F">
        <w:rPr>
          <w:rFonts w:ascii="Calibri" w:hAnsi="Calibri" w:cs="Calibri"/>
          <w:color w:val="000000"/>
          <w:sz w:val="23"/>
          <w:szCs w:val="23"/>
        </w:rPr>
        <w:t>v roce 201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 xml:space="preserve">9 bylo </w:t>
      </w:r>
      <w:r w:rsidR="0049228C" w:rsidRPr="00D57D3F">
        <w:rPr>
          <w:rFonts w:ascii="Calibri" w:hAnsi="Calibri" w:cs="Calibri"/>
          <w:color w:val="000000"/>
          <w:sz w:val="23"/>
          <w:szCs w:val="23"/>
        </w:rPr>
        <w:t>6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>70</w:t>
      </w:r>
      <w:r w:rsidR="0049228C" w:rsidRPr="00D57D3F">
        <w:rPr>
          <w:rFonts w:ascii="Calibri" w:hAnsi="Calibri" w:cs="Calibri"/>
          <w:color w:val="000000"/>
          <w:sz w:val="23"/>
          <w:szCs w:val="23"/>
        </w:rPr>
        <w:t xml:space="preserve"> tis. t a v roce 20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>20</w:t>
      </w:r>
      <w:r w:rsidR="0049228C" w:rsidRPr="00D57D3F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>vzrostlo</w:t>
      </w:r>
      <w:r w:rsidR="0049228C" w:rsidRPr="00D57D3F">
        <w:rPr>
          <w:rFonts w:ascii="Calibri" w:hAnsi="Calibri" w:cs="Calibri"/>
          <w:color w:val="000000"/>
          <w:sz w:val="23"/>
          <w:szCs w:val="23"/>
        </w:rPr>
        <w:t xml:space="preserve"> o</w:t>
      </w:r>
      <w:r w:rsidR="008B70F5" w:rsidRPr="00D57D3F">
        <w:rPr>
          <w:rFonts w:ascii="Calibri" w:hAnsi="Calibri" w:cs="Calibri"/>
          <w:color w:val="000000"/>
          <w:sz w:val="23"/>
          <w:szCs w:val="23"/>
        </w:rPr>
        <w:t> 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>4,5</w:t>
      </w:r>
      <w:r w:rsidR="00567913" w:rsidRPr="00D57D3F">
        <w:rPr>
          <w:rFonts w:ascii="Calibri" w:hAnsi="Calibri" w:cs="Calibri"/>
          <w:color w:val="000000"/>
          <w:sz w:val="23"/>
          <w:szCs w:val="23"/>
        </w:rPr>
        <w:t> </w:t>
      </w:r>
      <w:r w:rsidR="0049228C" w:rsidRPr="00D57D3F">
        <w:rPr>
          <w:rFonts w:ascii="Calibri" w:hAnsi="Calibri" w:cs="Calibri"/>
          <w:color w:val="000000"/>
          <w:sz w:val="23"/>
          <w:szCs w:val="23"/>
        </w:rPr>
        <w:t xml:space="preserve">% na </w:t>
      </w:r>
      <w:r w:rsidR="006966BF" w:rsidRPr="00D57D3F">
        <w:rPr>
          <w:rFonts w:ascii="Calibri" w:hAnsi="Calibri" w:cs="Calibri"/>
          <w:color w:val="000000"/>
          <w:sz w:val="23"/>
          <w:szCs w:val="23"/>
        </w:rPr>
        <w:t>700</w:t>
      </w:r>
      <w:r w:rsidR="0049228C" w:rsidRPr="00D57D3F">
        <w:rPr>
          <w:rFonts w:ascii="Calibri" w:hAnsi="Calibri" w:cs="Calibri"/>
          <w:color w:val="000000"/>
          <w:sz w:val="23"/>
          <w:szCs w:val="23"/>
        </w:rPr>
        <w:t xml:space="preserve"> tis. t. </w:t>
      </w:r>
      <w:r w:rsidRPr="00D57D3F">
        <w:t>V</w:t>
      </w:r>
      <w:r w:rsidR="00127E93" w:rsidRPr="00D57D3F">
        <w:t xml:space="preserve"> roce </w:t>
      </w:r>
      <w:r w:rsidRPr="00D57D3F">
        <w:t>20</w:t>
      </w:r>
      <w:r w:rsidR="0079313C" w:rsidRPr="00D57D3F">
        <w:t>20</w:t>
      </w:r>
      <w:r w:rsidRPr="00D57D3F">
        <w:t xml:space="preserve"> dosahuje produkce BRKO </w:t>
      </w:r>
      <w:r w:rsidR="006966BF" w:rsidRPr="00D57D3F">
        <w:t>1,9</w:t>
      </w:r>
      <w:r w:rsidRPr="00D57D3F">
        <w:t xml:space="preserve"> mil. t.</w:t>
      </w:r>
    </w:p>
    <w:p w:rsidR="00A147B2" w:rsidRPr="00D57D3F" w:rsidRDefault="008C12E6" w:rsidP="001C18BA">
      <w:pPr>
        <w:spacing w:after="120" w:line="276" w:lineRule="auto"/>
        <w:rPr>
          <w:bCs/>
        </w:rPr>
      </w:pPr>
      <w:r w:rsidRPr="00D57D3F">
        <w:rPr>
          <w:rFonts w:cstheme="minorHAnsi"/>
          <w:szCs w:val="24"/>
        </w:rPr>
        <w:t>V roce 201</w:t>
      </w:r>
      <w:r w:rsidR="00F11ACA" w:rsidRPr="00D57D3F">
        <w:rPr>
          <w:rFonts w:cstheme="minorHAnsi"/>
          <w:szCs w:val="24"/>
        </w:rPr>
        <w:t xml:space="preserve">9 i 2020 se </w:t>
      </w:r>
      <w:r w:rsidRPr="00D57D3F">
        <w:rPr>
          <w:rFonts w:cstheme="minorHAnsi"/>
          <w:szCs w:val="24"/>
        </w:rPr>
        <w:t xml:space="preserve">produkce </w:t>
      </w:r>
      <w:r w:rsidRPr="00D57D3F">
        <w:t>odpadních jedlých olejů a tuků</w:t>
      </w:r>
      <w:r w:rsidRPr="00D57D3F">
        <w:rPr>
          <w:rFonts w:cstheme="minorHAnsi"/>
          <w:szCs w:val="24"/>
        </w:rPr>
        <w:t xml:space="preserve"> </w:t>
      </w:r>
      <w:r w:rsidR="003122B7" w:rsidRPr="00D57D3F">
        <w:rPr>
          <w:rFonts w:cstheme="minorHAnsi"/>
          <w:szCs w:val="24"/>
        </w:rPr>
        <w:t xml:space="preserve">pohybovala na </w:t>
      </w:r>
      <w:r w:rsidR="00E94B4F" w:rsidRPr="00D57D3F">
        <w:rPr>
          <w:rFonts w:cstheme="minorHAnsi"/>
          <w:szCs w:val="24"/>
        </w:rPr>
        <w:t xml:space="preserve">12 </w:t>
      </w:r>
      <w:r w:rsidR="001D1E8D" w:rsidRPr="00D57D3F">
        <w:rPr>
          <w:bCs/>
        </w:rPr>
        <w:t>tis.</w:t>
      </w:r>
      <w:r w:rsidRPr="00D57D3F">
        <w:rPr>
          <w:bCs/>
        </w:rPr>
        <w:t xml:space="preserve"> t</w:t>
      </w:r>
      <w:r w:rsidR="00E94B4F" w:rsidRPr="00D57D3F">
        <w:rPr>
          <w:bCs/>
        </w:rPr>
        <w:t>.</w:t>
      </w:r>
      <w:r w:rsidRPr="00D57D3F">
        <w:rPr>
          <w:rFonts w:cstheme="minorHAnsi"/>
          <w:szCs w:val="24"/>
        </w:rPr>
        <w:t xml:space="preserve"> </w:t>
      </w:r>
      <w:r w:rsidR="00411748" w:rsidRPr="00D57D3F">
        <w:rPr>
          <w:rFonts w:cstheme="minorHAnsi"/>
          <w:szCs w:val="24"/>
        </w:rPr>
        <w:t>Prakticky všechny tyto odpady jsou materiálově využity.</w:t>
      </w:r>
      <w:r w:rsidR="00E94B4F" w:rsidRPr="00D57D3F">
        <w:rPr>
          <w:rFonts w:cstheme="minorHAnsi"/>
          <w:szCs w:val="24"/>
        </w:rPr>
        <w:t xml:space="preserve"> </w:t>
      </w:r>
      <w:r w:rsidR="00411748" w:rsidRPr="00D57D3F">
        <w:rPr>
          <w:rFonts w:cstheme="minorHAnsi"/>
          <w:szCs w:val="24"/>
        </w:rPr>
        <w:t xml:space="preserve"> </w:t>
      </w:r>
    </w:p>
    <w:bookmarkEnd w:id="17"/>
    <w:p w:rsidR="0044159B" w:rsidRPr="00D57D3F" w:rsidRDefault="008C12E6" w:rsidP="001C18BA">
      <w:pPr>
        <w:spacing w:after="120" w:line="276" w:lineRule="auto"/>
        <w:rPr>
          <w:bCs/>
        </w:rPr>
      </w:pPr>
      <w:r w:rsidRPr="00D57D3F">
        <w:rPr>
          <w:bCs/>
        </w:rPr>
        <w:t>V letech</w:t>
      </w:r>
      <w:r w:rsidRPr="00D57D3F">
        <w:rPr>
          <w:bCs/>
        </w:rPr>
        <w:t xml:space="preserve"> 2019 a 2020 platí, že podle v</w:t>
      </w:r>
      <w:r w:rsidR="00BF493B" w:rsidRPr="00D57D3F">
        <w:rPr>
          <w:bCs/>
        </w:rPr>
        <w:t>yhlášk</w:t>
      </w:r>
      <w:r w:rsidRPr="00D57D3F">
        <w:rPr>
          <w:bCs/>
        </w:rPr>
        <w:t>y</w:t>
      </w:r>
      <w:r w:rsidR="00BF493B" w:rsidRPr="00D57D3F">
        <w:rPr>
          <w:bCs/>
        </w:rPr>
        <w:t xml:space="preserve"> č. 294/2005 Sb., o podmínkách ukládání odpadů na skládky a jejich využívání na povrchu terénu</w:t>
      </w:r>
      <w:r w:rsidR="00E56F15" w:rsidRPr="00D57D3F">
        <w:rPr>
          <w:bCs/>
        </w:rPr>
        <w:t xml:space="preserve"> </w:t>
      </w:r>
      <w:r w:rsidRPr="00D57D3F">
        <w:rPr>
          <w:bCs/>
        </w:rPr>
        <w:t xml:space="preserve">se nesmějí ukládat na skládky </w:t>
      </w:r>
      <w:r w:rsidR="00BF493B" w:rsidRPr="00D57D3F">
        <w:rPr>
          <w:bCs/>
        </w:rPr>
        <w:t>biologicky rozložiteln</w:t>
      </w:r>
      <w:r w:rsidRPr="00D57D3F">
        <w:rPr>
          <w:bCs/>
        </w:rPr>
        <w:t>é</w:t>
      </w:r>
      <w:r w:rsidR="00E56F15" w:rsidRPr="00D57D3F">
        <w:rPr>
          <w:bCs/>
        </w:rPr>
        <w:t xml:space="preserve"> o</w:t>
      </w:r>
      <w:r w:rsidR="00BF493B" w:rsidRPr="00D57D3F">
        <w:rPr>
          <w:bCs/>
        </w:rPr>
        <w:t>dpad</w:t>
      </w:r>
      <w:r w:rsidRPr="00D57D3F">
        <w:rPr>
          <w:bCs/>
        </w:rPr>
        <w:t xml:space="preserve">y, vymezené ve </w:t>
      </w:r>
      <w:r w:rsidR="00BF493B" w:rsidRPr="00D57D3F">
        <w:rPr>
          <w:bCs/>
        </w:rPr>
        <w:t xml:space="preserve">vyhlášce č. 341/2008 Sb. </w:t>
      </w:r>
      <w:r w:rsidRPr="00D57D3F">
        <w:rPr>
          <w:bCs/>
        </w:rPr>
        <w:t>Zákaz skládkování se týká</w:t>
      </w:r>
      <w:r w:rsidRPr="00D57D3F">
        <w:rPr>
          <w:bCs/>
        </w:rPr>
        <w:t xml:space="preserve"> </w:t>
      </w:r>
      <w:r w:rsidR="00BF493B" w:rsidRPr="00D57D3F">
        <w:rPr>
          <w:bCs/>
        </w:rPr>
        <w:t xml:space="preserve">rovněž kvalitních výstupů z kompostáren. </w:t>
      </w:r>
    </w:p>
    <w:p w:rsidR="00BF493B" w:rsidRPr="00D57D3F" w:rsidRDefault="008C12E6" w:rsidP="001C18BA">
      <w:pPr>
        <w:spacing w:after="120" w:line="276" w:lineRule="auto"/>
      </w:pPr>
      <w:r w:rsidRPr="00D57D3F">
        <w:rPr>
          <w:bCs/>
        </w:rPr>
        <w:t>Dále odpady, které obsahují biologicky rozložitelnou složku nebo přestaly být biologicky rozložitelné po úpravě,</w:t>
      </w:r>
      <w:r w:rsidRPr="00D57D3F">
        <w:t xml:space="preserve"> musí splnit parametr biologické stability. Výjimku představuje pouze biologicky rozložitelná složka </w:t>
      </w:r>
      <w:r w:rsidRPr="00D57D3F">
        <w:t>směsných komunálních odpadů, přičemž byl zpřísněn parametr výhřevnosti pro skládkování výstupů z úpravy směsných komunálních odpadů.</w:t>
      </w:r>
    </w:p>
    <w:p w:rsidR="00134B01" w:rsidRPr="00DB692B" w:rsidRDefault="008C12E6" w:rsidP="001C18BA">
      <w:pPr>
        <w:spacing w:after="120" w:line="276" w:lineRule="auto"/>
        <w:rPr>
          <w:bCs/>
        </w:rPr>
      </w:pPr>
      <w:r w:rsidRPr="00D57D3F">
        <w:rPr>
          <w:bCs/>
        </w:rPr>
        <w:t xml:space="preserve">Ke zvýšení </w:t>
      </w:r>
      <w:r w:rsidR="00395D29" w:rsidRPr="00D57D3F">
        <w:rPr>
          <w:bCs/>
        </w:rPr>
        <w:t xml:space="preserve">využívání BRKO přispívají dotace z </w:t>
      </w:r>
      <w:r w:rsidRPr="00D57D3F">
        <w:rPr>
          <w:bCs/>
        </w:rPr>
        <w:t xml:space="preserve">Operačního programu Životní prostředí </w:t>
      </w:r>
      <w:r w:rsidR="007B5F90" w:rsidRPr="00D57D3F">
        <w:rPr>
          <w:bCs/>
        </w:rPr>
        <w:t>2014–</w:t>
      </w:r>
      <w:r w:rsidR="007B5F90">
        <w:rPr>
          <w:bCs/>
        </w:rPr>
        <w:t>2</w:t>
      </w:r>
      <w:r w:rsidR="007B5F90" w:rsidRPr="00D57D3F">
        <w:rPr>
          <w:bCs/>
        </w:rPr>
        <w:t>020</w:t>
      </w:r>
      <w:r w:rsidR="004324EC" w:rsidRPr="00D57D3F">
        <w:rPr>
          <w:bCs/>
        </w:rPr>
        <w:t>.</w:t>
      </w:r>
      <w:r w:rsidRPr="00D57D3F">
        <w:rPr>
          <w:bCs/>
        </w:rPr>
        <w:t xml:space="preserve"> Byly poskytnuty finanční pro</w:t>
      </w:r>
      <w:r w:rsidRPr="00D57D3F">
        <w:rPr>
          <w:bCs/>
        </w:rPr>
        <w:t>středky zejména na domácí kompostéry, kompostárny</w:t>
      </w:r>
      <w:r w:rsidR="00395D29" w:rsidRPr="00D57D3F">
        <w:rPr>
          <w:bCs/>
        </w:rPr>
        <w:t xml:space="preserve"> </w:t>
      </w:r>
      <w:r w:rsidR="007B5F90" w:rsidRPr="00D57D3F">
        <w:rPr>
          <w:bCs/>
        </w:rPr>
        <w:t>a v</w:t>
      </w:r>
      <w:r w:rsidR="0089041F" w:rsidRPr="00D57D3F">
        <w:rPr>
          <w:bCs/>
        </w:rPr>
        <w:t xml:space="preserve"> menší míře na </w:t>
      </w:r>
      <w:r w:rsidRPr="00D57D3F">
        <w:rPr>
          <w:bCs/>
        </w:rPr>
        <w:t>bioplynové stanice.</w:t>
      </w:r>
      <w:r w:rsidRPr="00DB692B">
        <w:rPr>
          <w:bCs/>
        </w:rPr>
        <w:t xml:space="preserve"> </w:t>
      </w:r>
    </w:p>
    <w:p w:rsidR="00E56F15" w:rsidRPr="00D57D3F" w:rsidRDefault="008C12E6" w:rsidP="00E56F15">
      <w:pPr>
        <w:spacing w:after="120" w:line="276" w:lineRule="auto"/>
        <w:rPr>
          <w:bCs/>
        </w:rPr>
      </w:pPr>
      <w:r w:rsidRPr="00D57D3F">
        <w:rPr>
          <w:bCs/>
        </w:rPr>
        <w:t>Skládkování BRKO činilo v roce 201</w:t>
      </w:r>
      <w:r w:rsidR="00CF1501" w:rsidRPr="00D57D3F">
        <w:rPr>
          <w:bCs/>
        </w:rPr>
        <w:t>9</w:t>
      </w:r>
      <w:r w:rsidRPr="00D57D3F">
        <w:rPr>
          <w:bCs/>
        </w:rPr>
        <w:t xml:space="preserve"> celkem </w:t>
      </w:r>
      <w:r w:rsidR="002D60C6" w:rsidRPr="00D57D3F">
        <w:rPr>
          <w:bCs/>
        </w:rPr>
        <w:t>642</w:t>
      </w:r>
      <w:r w:rsidR="00994572" w:rsidRPr="00D57D3F">
        <w:rPr>
          <w:bCs/>
        </w:rPr>
        <w:t xml:space="preserve"> 822 </w:t>
      </w:r>
      <w:r w:rsidRPr="00D57D3F">
        <w:rPr>
          <w:bCs/>
        </w:rPr>
        <w:t xml:space="preserve">t, což odpovídá </w:t>
      </w:r>
      <w:r w:rsidR="00BB2FF4" w:rsidRPr="00D57D3F">
        <w:rPr>
          <w:bCs/>
        </w:rPr>
        <w:t>4</w:t>
      </w:r>
      <w:r w:rsidR="00994572" w:rsidRPr="00D57D3F">
        <w:rPr>
          <w:bCs/>
        </w:rPr>
        <w:t>2</w:t>
      </w:r>
      <w:r w:rsidR="00BF493B" w:rsidRPr="00D57D3F">
        <w:rPr>
          <w:bCs/>
        </w:rPr>
        <w:t> </w:t>
      </w:r>
      <w:r w:rsidRPr="00D57D3F">
        <w:rPr>
          <w:bCs/>
        </w:rPr>
        <w:t>%</w:t>
      </w:r>
      <w:r w:rsidR="00DC3989" w:rsidRPr="00D57D3F">
        <w:rPr>
          <w:bCs/>
        </w:rPr>
        <w:t xml:space="preserve"> </w:t>
      </w:r>
      <w:r w:rsidRPr="00D57D3F">
        <w:rPr>
          <w:bCs/>
        </w:rPr>
        <w:t>podílu BRKO uložených na skládky</w:t>
      </w:r>
      <w:r w:rsidR="00530C43" w:rsidRPr="00D57D3F">
        <w:rPr>
          <w:bCs/>
        </w:rPr>
        <w:t xml:space="preserve"> vzhledem ke srovnávací základně z roku 1995</w:t>
      </w:r>
      <w:r w:rsidR="00994572" w:rsidRPr="00D57D3F">
        <w:rPr>
          <w:bCs/>
        </w:rPr>
        <w:t xml:space="preserve"> (dosavadní)</w:t>
      </w:r>
      <w:r w:rsidRPr="00D57D3F">
        <w:rPr>
          <w:bCs/>
        </w:rPr>
        <w:t xml:space="preserve">. </w:t>
      </w:r>
      <w:r w:rsidR="00CF1501" w:rsidRPr="00D57D3F">
        <w:rPr>
          <w:bCs/>
        </w:rPr>
        <w:t xml:space="preserve">V roce 2022 je analyzována </w:t>
      </w:r>
      <w:r w:rsidR="00D57D3F" w:rsidRPr="00D57D3F">
        <w:rPr>
          <w:bCs/>
        </w:rPr>
        <w:t xml:space="preserve">možnost přehodnocení </w:t>
      </w:r>
      <w:r w:rsidR="007B1F4B" w:rsidRPr="00D57D3F">
        <w:rPr>
          <w:bCs/>
        </w:rPr>
        <w:t xml:space="preserve">výše základny </w:t>
      </w:r>
      <w:r w:rsidR="00CF1501" w:rsidRPr="00D57D3F">
        <w:rPr>
          <w:bCs/>
        </w:rPr>
        <w:t>z roku 1995</w:t>
      </w:r>
      <w:r w:rsidR="007B1F4B" w:rsidRPr="00D57D3F">
        <w:rPr>
          <w:bCs/>
        </w:rPr>
        <w:t xml:space="preserve">, </w:t>
      </w:r>
      <w:r w:rsidR="00CF1501" w:rsidRPr="00D57D3F">
        <w:rPr>
          <w:bCs/>
        </w:rPr>
        <w:t xml:space="preserve">v době přípravy zprávy </w:t>
      </w:r>
      <w:r w:rsidR="007B1F4B" w:rsidRPr="00D57D3F">
        <w:rPr>
          <w:bCs/>
        </w:rPr>
        <w:t xml:space="preserve">tedy </w:t>
      </w:r>
      <w:r w:rsidR="00CF1501" w:rsidRPr="00D57D3F">
        <w:rPr>
          <w:bCs/>
        </w:rPr>
        <w:t xml:space="preserve">hodnota </w:t>
      </w:r>
      <w:r w:rsidR="007B1F4B" w:rsidRPr="00D57D3F">
        <w:rPr>
          <w:bCs/>
        </w:rPr>
        <w:t xml:space="preserve">plnění cíle </w:t>
      </w:r>
      <w:r w:rsidR="00D57D3F" w:rsidRPr="00D57D3F">
        <w:rPr>
          <w:bCs/>
        </w:rPr>
        <w:t xml:space="preserve">v roce 2020 </w:t>
      </w:r>
      <w:r w:rsidR="00CF1501" w:rsidRPr="00D57D3F">
        <w:rPr>
          <w:bCs/>
        </w:rPr>
        <w:t xml:space="preserve">není k dispozici. </w:t>
      </w:r>
      <w:r w:rsidR="002E4F4A" w:rsidRPr="00D57D3F">
        <w:rPr>
          <w:bCs/>
        </w:rPr>
        <w:t xml:space="preserve">Pozitivní je, že </w:t>
      </w:r>
      <w:r w:rsidR="00B504BC" w:rsidRPr="00D57D3F">
        <w:rPr>
          <w:bCs/>
        </w:rPr>
        <w:t>m</w:t>
      </w:r>
      <w:r w:rsidR="00BB2FF4" w:rsidRPr="00D57D3F">
        <w:rPr>
          <w:bCs/>
        </w:rPr>
        <w:t xml:space="preserve">eziročně došlo k poklesu </w:t>
      </w:r>
      <w:r w:rsidR="00CF1501" w:rsidRPr="00D57D3F">
        <w:rPr>
          <w:bCs/>
        </w:rPr>
        <w:t xml:space="preserve">množství skládkovaných BRKO o </w:t>
      </w:r>
      <w:r w:rsidR="00994572" w:rsidRPr="00D57D3F">
        <w:rPr>
          <w:bCs/>
        </w:rPr>
        <w:t xml:space="preserve">26,5 tis. </w:t>
      </w:r>
      <w:r w:rsidR="00CF1501" w:rsidRPr="00D57D3F">
        <w:rPr>
          <w:bCs/>
        </w:rPr>
        <w:t>tun</w:t>
      </w:r>
      <w:r w:rsidR="00994572" w:rsidRPr="00D57D3F">
        <w:rPr>
          <w:bCs/>
        </w:rPr>
        <w:t xml:space="preserve"> na 616 227 tun v roce 2020</w:t>
      </w:r>
      <w:r w:rsidR="00CF1501" w:rsidRPr="00D57D3F">
        <w:rPr>
          <w:bCs/>
        </w:rPr>
        <w:t>.</w:t>
      </w:r>
      <w:r w:rsidR="00BB2FF4" w:rsidRPr="00D57D3F">
        <w:rPr>
          <w:bCs/>
        </w:rPr>
        <w:t xml:space="preserve"> </w:t>
      </w:r>
      <w:r w:rsidR="00994572" w:rsidRPr="00D57D3F">
        <w:rPr>
          <w:bCs/>
        </w:rPr>
        <w:t xml:space="preserve"> </w:t>
      </w:r>
    </w:p>
    <w:p w:rsidR="00A25467" w:rsidRDefault="008C12E6" w:rsidP="00F36B7A">
      <w:pPr>
        <w:spacing w:after="360" w:line="276" w:lineRule="auto"/>
        <w:rPr>
          <w:bCs/>
        </w:rPr>
      </w:pPr>
      <w:r w:rsidRPr="00D57D3F">
        <w:rPr>
          <w:bCs/>
        </w:rPr>
        <w:t xml:space="preserve">Přijatá opatření a </w:t>
      </w:r>
      <w:r w:rsidR="00045F99" w:rsidRPr="00D57D3F">
        <w:rPr>
          <w:bCs/>
        </w:rPr>
        <w:t>podpora z</w:t>
      </w:r>
      <w:r w:rsidRPr="00D57D3F">
        <w:rPr>
          <w:bCs/>
        </w:rPr>
        <w:t xml:space="preserve"> O</w:t>
      </w:r>
      <w:r w:rsidR="001C18BA" w:rsidRPr="00D57D3F">
        <w:rPr>
          <w:bCs/>
        </w:rPr>
        <w:t>PŽP</w:t>
      </w:r>
      <w:r w:rsidRPr="00D57D3F">
        <w:rPr>
          <w:bCs/>
        </w:rPr>
        <w:t xml:space="preserve"> </w:t>
      </w:r>
      <w:r w:rsidR="007B5F90" w:rsidRPr="00D57D3F">
        <w:rPr>
          <w:bCs/>
        </w:rPr>
        <w:t>2014–2020</w:t>
      </w:r>
      <w:r w:rsidRPr="00D57D3F">
        <w:rPr>
          <w:bCs/>
        </w:rPr>
        <w:t xml:space="preserve"> </w:t>
      </w:r>
      <w:r w:rsidR="000B1835" w:rsidRPr="00D57D3F">
        <w:rPr>
          <w:bCs/>
        </w:rPr>
        <w:t xml:space="preserve">přispěly k </w:t>
      </w:r>
      <w:r w:rsidR="008658F9" w:rsidRPr="00D57D3F">
        <w:rPr>
          <w:bCs/>
        </w:rPr>
        <w:t xml:space="preserve">plnění </w:t>
      </w:r>
      <w:r w:rsidRPr="00D57D3F">
        <w:rPr>
          <w:bCs/>
        </w:rPr>
        <w:t xml:space="preserve">cíle </w:t>
      </w:r>
      <w:r w:rsidR="001C18BA" w:rsidRPr="00D57D3F">
        <w:rPr>
          <w:bCs/>
        </w:rPr>
        <w:t>POH</w:t>
      </w:r>
      <w:r w:rsidR="008658F9" w:rsidRPr="00D57D3F">
        <w:rPr>
          <w:bCs/>
        </w:rPr>
        <w:t>.</w:t>
      </w:r>
      <w:r w:rsidRPr="00FB301D">
        <w:rPr>
          <w:bCs/>
        </w:rPr>
        <w:t xml:space="preserve"> </w:t>
      </w:r>
    </w:p>
    <w:p w:rsidR="0075439F" w:rsidRPr="00D57D3F" w:rsidRDefault="008C12E6" w:rsidP="008B2F72">
      <w:pPr>
        <w:spacing w:after="120" w:line="276" w:lineRule="auto"/>
        <w:rPr>
          <w:sz w:val="26"/>
          <w:szCs w:val="26"/>
          <w:u w:val="single"/>
        </w:rPr>
      </w:pPr>
      <w:r w:rsidRPr="00D57D3F">
        <w:rPr>
          <w:b/>
          <w:bCs/>
          <w:sz w:val="26"/>
          <w:szCs w:val="26"/>
          <w:u w:val="single"/>
        </w:rPr>
        <w:t>Stavební a demoliční odpady</w:t>
      </w:r>
    </w:p>
    <w:p w:rsidR="0082143B" w:rsidRPr="00D57D3F" w:rsidRDefault="008C12E6" w:rsidP="008B2F72">
      <w:pPr>
        <w:spacing w:after="120" w:line="276" w:lineRule="auto"/>
        <w:rPr>
          <w:b/>
        </w:rPr>
      </w:pPr>
      <w:r w:rsidRPr="00D57D3F">
        <w:t>Podíl produkce stavebních a demoličních odpadů na celkové produkci všech odpadů dos</w:t>
      </w:r>
      <w:r w:rsidR="0070283A" w:rsidRPr="00D57D3F">
        <w:t>áhl</w:t>
      </w:r>
      <w:r w:rsidRPr="00D57D3F">
        <w:t xml:space="preserve"> 5</w:t>
      </w:r>
      <w:r w:rsidR="009E62E4" w:rsidRPr="00D57D3F">
        <w:t>8</w:t>
      </w:r>
      <w:r w:rsidRPr="00D57D3F">
        <w:t>,</w:t>
      </w:r>
      <w:r w:rsidR="009E62E4" w:rsidRPr="00D57D3F">
        <w:t>5</w:t>
      </w:r>
      <w:r w:rsidRPr="00D57D3F">
        <w:t xml:space="preserve"> % v roce 20</w:t>
      </w:r>
      <w:r w:rsidR="009E62E4" w:rsidRPr="00D57D3F">
        <w:t>20</w:t>
      </w:r>
      <w:r w:rsidRPr="00D57D3F">
        <w:t xml:space="preserve">. </w:t>
      </w:r>
      <w:r w:rsidR="008B2F72" w:rsidRPr="00D57D3F">
        <w:rPr>
          <w:b/>
        </w:rPr>
        <w:t xml:space="preserve">Produkce odpadů ze stavební činnosti </w:t>
      </w:r>
      <w:r w:rsidRPr="00D57D3F">
        <w:rPr>
          <w:b/>
        </w:rPr>
        <w:t xml:space="preserve">v roce </w:t>
      </w:r>
      <w:r w:rsidR="008B2F72" w:rsidRPr="00D57D3F">
        <w:rPr>
          <w:b/>
        </w:rPr>
        <w:t>20</w:t>
      </w:r>
      <w:r w:rsidRPr="00D57D3F">
        <w:rPr>
          <w:b/>
        </w:rPr>
        <w:t>19 dosáhla 20 8</w:t>
      </w:r>
      <w:r w:rsidR="009E62E4" w:rsidRPr="00D57D3F">
        <w:rPr>
          <w:b/>
        </w:rPr>
        <w:t>36</w:t>
      </w:r>
      <w:r w:rsidRPr="00D57D3F">
        <w:rPr>
          <w:b/>
        </w:rPr>
        <w:t xml:space="preserve"> tis. t a v roce 2020 to bylo 22 528,2 tis. t, meziročně 2019-2020 došlo k nárůstu stave</w:t>
      </w:r>
      <w:r w:rsidR="004C539F" w:rsidRPr="00D57D3F">
        <w:rPr>
          <w:b/>
        </w:rPr>
        <w:t>b</w:t>
      </w:r>
      <w:r w:rsidRPr="00D57D3F">
        <w:rPr>
          <w:b/>
        </w:rPr>
        <w:t>ních a</w:t>
      </w:r>
      <w:r w:rsidR="008B70F5" w:rsidRPr="00D57D3F">
        <w:rPr>
          <w:b/>
        </w:rPr>
        <w:t> </w:t>
      </w:r>
      <w:r w:rsidRPr="00D57D3F">
        <w:rPr>
          <w:b/>
        </w:rPr>
        <w:t xml:space="preserve">demoličních odpadů o </w:t>
      </w:r>
      <w:r w:rsidR="004C539F" w:rsidRPr="00D57D3F">
        <w:rPr>
          <w:b/>
        </w:rPr>
        <w:t xml:space="preserve">1 692 </w:t>
      </w:r>
      <w:r w:rsidRPr="00D57D3F">
        <w:rPr>
          <w:b/>
        </w:rPr>
        <w:t xml:space="preserve">tis. tun. </w:t>
      </w:r>
    </w:p>
    <w:p w:rsidR="001E34E2" w:rsidRPr="00D57D3F" w:rsidRDefault="008C12E6" w:rsidP="008B2F72">
      <w:pPr>
        <w:spacing w:after="120" w:line="276" w:lineRule="auto"/>
      </w:pPr>
      <w:r w:rsidRPr="00D57D3F">
        <w:t xml:space="preserve">Navýšení je způsobeno především </w:t>
      </w:r>
      <w:r w:rsidR="008B2F72" w:rsidRPr="00D57D3F">
        <w:t>investicemi do dopravní infrastruktury,</w:t>
      </w:r>
      <w:r w:rsidRPr="00D57D3F">
        <w:t xml:space="preserve"> výstavb</w:t>
      </w:r>
      <w:r w:rsidR="00B45E5F" w:rsidRPr="00D57D3F">
        <w:t>ou</w:t>
      </w:r>
      <w:r w:rsidRPr="00D57D3F">
        <w:t xml:space="preserve"> dálnic a</w:t>
      </w:r>
      <w:r w:rsidR="008B70F5" w:rsidRPr="00D57D3F">
        <w:t> </w:t>
      </w:r>
      <w:r w:rsidRPr="00D57D3F">
        <w:t xml:space="preserve">železničního koridoru. </w:t>
      </w:r>
      <w:r w:rsidR="00890EB7" w:rsidRPr="00D57D3F">
        <w:t>V</w:t>
      </w:r>
      <w:r w:rsidR="00123BAC" w:rsidRPr="00D57D3F">
        <w:t xml:space="preserve"> roce </w:t>
      </w:r>
      <w:r w:rsidR="00890EB7" w:rsidRPr="00D57D3F">
        <w:t>2018 má 31 %</w:t>
      </w:r>
      <w:r w:rsidR="00E910F3" w:rsidRPr="00D57D3F">
        <w:t xml:space="preserve"> </w:t>
      </w:r>
      <w:r w:rsidR="00890EB7" w:rsidRPr="00D57D3F">
        <w:t>obcí v ČR nastaven systém nakládání se stavebními a</w:t>
      </w:r>
      <w:r w:rsidR="00E910F3" w:rsidRPr="00D57D3F">
        <w:t> </w:t>
      </w:r>
      <w:r w:rsidR="00890EB7" w:rsidRPr="00D57D3F">
        <w:t xml:space="preserve">demoličními odpady od občanů. </w:t>
      </w:r>
    </w:p>
    <w:p w:rsidR="0075439F" w:rsidRPr="00D57D3F" w:rsidRDefault="008C12E6" w:rsidP="00FC410C">
      <w:pPr>
        <w:spacing w:after="120" w:line="276" w:lineRule="auto"/>
        <w:rPr>
          <w:bCs/>
        </w:rPr>
      </w:pPr>
      <w:r w:rsidRPr="00D57D3F">
        <w:rPr>
          <w:bCs/>
        </w:rPr>
        <w:t>V roce 20</w:t>
      </w:r>
      <w:r w:rsidR="003D58DE" w:rsidRPr="00D57D3F">
        <w:rPr>
          <w:bCs/>
        </w:rPr>
        <w:t>20</w:t>
      </w:r>
      <w:r w:rsidRPr="00D57D3F">
        <w:rPr>
          <w:bCs/>
        </w:rPr>
        <w:t xml:space="preserve"> bylo dosaženo </w:t>
      </w:r>
      <w:r w:rsidR="001A38BC" w:rsidRPr="00D57D3F">
        <w:rPr>
          <w:bCs/>
        </w:rPr>
        <w:t>95,3</w:t>
      </w:r>
      <w:r w:rsidRPr="00D57D3F">
        <w:rPr>
          <w:bCs/>
        </w:rPr>
        <w:t xml:space="preserve"> % materiálového využití ostatních stavebních a demoličních odpadů</w:t>
      </w:r>
      <w:r w:rsidR="004E1633" w:rsidRPr="00D57D3F">
        <w:rPr>
          <w:bCs/>
        </w:rPr>
        <w:t xml:space="preserve"> a v roce 20</w:t>
      </w:r>
      <w:r w:rsidR="003D58DE" w:rsidRPr="00D57D3F">
        <w:rPr>
          <w:bCs/>
        </w:rPr>
        <w:t>19</w:t>
      </w:r>
      <w:r w:rsidR="004E1633" w:rsidRPr="00D57D3F">
        <w:rPr>
          <w:bCs/>
        </w:rPr>
        <w:t xml:space="preserve"> to bylo </w:t>
      </w:r>
      <w:r w:rsidR="003D58DE" w:rsidRPr="00D57D3F">
        <w:rPr>
          <w:bCs/>
        </w:rPr>
        <w:t>88</w:t>
      </w:r>
      <w:r w:rsidR="004E1633" w:rsidRPr="00D57D3F">
        <w:rPr>
          <w:bCs/>
        </w:rPr>
        <w:t xml:space="preserve"> %</w:t>
      </w:r>
      <w:r w:rsidRPr="00D57D3F">
        <w:rPr>
          <w:bCs/>
        </w:rPr>
        <w:t>.</w:t>
      </w:r>
      <w:r w:rsidRPr="00D57D3F">
        <w:rPr>
          <w:b/>
          <w:bCs/>
        </w:rPr>
        <w:t xml:space="preserve"> </w:t>
      </w:r>
      <w:bookmarkStart w:id="18" w:name="_Hlk100916498"/>
      <w:r w:rsidRPr="00D57D3F">
        <w:rPr>
          <w:b/>
          <w:bCs/>
        </w:rPr>
        <w:t>Cíl v oblasti využití stavebních a</w:t>
      </w:r>
      <w:r w:rsidR="00E910F3" w:rsidRPr="00D57D3F">
        <w:rPr>
          <w:b/>
          <w:bCs/>
        </w:rPr>
        <w:t> </w:t>
      </w:r>
      <w:r w:rsidRPr="00D57D3F">
        <w:rPr>
          <w:b/>
          <w:bCs/>
        </w:rPr>
        <w:t xml:space="preserve">demoličních odpadů byl </w:t>
      </w:r>
      <w:r w:rsidRPr="00D57D3F">
        <w:rPr>
          <w:b/>
          <w:bCs/>
        </w:rPr>
        <w:lastRenderedPageBreak/>
        <w:t>splněn</w:t>
      </w:r>
      <w:r w:rsidRPr="00D57D3F">
        <w:rPr>
          <w:bCs/>
        </w:rPr>
        <w:t xml:space="preserve">. </w:t>
      </w:r>
      <w:bookmarkEnd w:id="18"/>
      <w:r w:rsidR="003D58DE" w:rsidRPr="00D57D3F">
        <w:rPr>
          <w:bCs/>
        </w:rPr>
        <w:t xml:space="preserve">Celkové využití stavebních a demoličních odpadů včetně energetického využití dosahuje až ke 100 %. </w:t>
      </w:r>
    </w:p>
    <w:p w:rsidR="0075439F" w:rsidRPr="00D57D3F" w:rsidRDefault="008C12E6" w:rsidP="009E62E4">
      <w:pPr>
        <w:spacing w:after="120" w:line="276" w:lineRule="auto"/>
        <w:rPr>
          <w:bCs/>
        </w:rPr>
      </w:pPr>
      <w:r w:rsidRPr="00D57D3F">
        <w:rPr>
          <w:bCs/>
        </w:rPr>
        <w:t>V současnosti podle vyhlášky č. 294/2005 Sb., o podmínkách uk</w:t>
      </w:r>
      <w:r w:rsidRPr="00D57D3F">
        <w:rPr>
          <w:bCs/>
        </w:rPr>
        <w:t>ládání odpadů na skládky a</w:t>
      </w:r>
      <w:r w:rsidR="00EA1181" w:rsidRPr="00D57D3F">
        <w:rPr>
          <w:bCs/>
        </w:rPr>
        <w:t> </w:t>
      </w:r>
      <w:r w:rsidRPr="00D57D3F">
        <w:rPr>
          <w:bCs/>
        </w:rPr>
        <w:t>jejich využívání na povrchu terénu je stanoveno, že ze stavebních odpadů mohou být využívány pouze zeminy, jalové horniny, hlušiny, sedimenty a</w:t>
      </w:r>
      <w:r w:rsidR="00BD57B1" w:rsidRPr="00D57D3F">
        <w:rPr>
          <w:bCs/>
        </w:rPr>
        <w:t> </w:t>
      </w:r>
      <w:r w:rsidRPr="00D57D3F">
        <w:rPr>
          <w:bCs/>
        </w:rPr>
        <w:t>recyklát ze stavebního a</w:t>
      </w:r>
      <w:r w:rsidR="00EA1181" w:rsidRPr="00D57D3F">
        <w:rPr>
          <w:bCs/>
        </w:rPr>
        <w:t> </w:t>
      </w:r>
      <w:r w:rsidRPr="00D57D3F">
        <w:rPr>
          <w:bCs/>
        </w:rPr>
        <w:t>demoličního odpadu</w:t>
      </w:r>
      <w:r w:rsidR="00FC3B4C" w:rsidRPr="00D57D3F">
        <w:rPr>
          <w:bCs/>
        </w:rPr>
        <w:t xml:space="preserve">. </w:t>
      </w:r>
      <w:r w:rsidRPr="00D57D3F">
        <w:rPr>
          <w:bCs/>
        </w:rPr>
        <w:t xml:space="preserve">Toto vede k využívání stavebních odpadů </w:t>
      </w:r>
      <w:r w:rsidRPr="00D57D3F">
        <w:rPr>
          <w:bCs/>
        </w:rPr>
        <w:t>pouze k účelným terénním úpravám a zároveň je podpořena skutečná recyklace těchto odpadů včetně jejich dalšího využití ke stavebním účelům.</w:t>
      </w:r>
    </w:p>
    <w:p w:rsidR="003C37ED" w:rsidRPr="00D57D3F" w:rsidRDefault="008C12E6" w:rsidP="003C37ED">
      <w:pPr>
        <w:spacing w:after="120" w:line="276" w:lineRule="auto"/>
        <w:rPr>
          <w:bCs/>
        </w:rPr>
      </w:pPr>
      <w:r w:rsidRPr="00D57D3F">
        <w:rPr>
          <w:bCs/>
        </w:rPr>
        <w:t xml:space="preserve">Již od roku 2018 </w:t>
      </w:r>
      <w:r w:rsidR="00F60D57" w:rsidRPr="00D57D3F">
        <w:rPr>
          <w:bCs/>
        </w:rPr>
        <w:t xml:space="preserve">MŽP usměrnilo nakládání se stavebními a demoličními odpady </w:t>
      </w:r>
      <w:r w:rsidRPr="00D57D3F">
        <w:rPr>
          <w:bCs/>
        </w:rPr>
        <w:t>Metodickým návodem pro řízení vzniku sta</w:t>
      </w:r>
      <w:r w:rsidRPr="00D57D3F">
        <w:rPr>
          <w:bCs/>
        </w:rPr>
        <w:t xml:space="preserve">vebních a demoličních odpadů a pro nakládání s nimi. </w:t>
      </w:r>
    </w:p>
    <w:p w:rsidR="00FB301D" w:rsidRPr="00D57D3F" w:rsidRDefault="008C12E6" w:rsidP="00D57D3F">
      <w:pPr>
        <w:spacing w:line="276" w:lineRule="auto"/>
      </w:pPr>
      <w:r w:rsidRPr="00D57D3F">
        <w:rPr>
          <w:bCs/>
        </w:rPr>
        <w:t xml:space="preserve">V praxi </w:t>
      </w:r>
      <w:r w:rsidR="00E0536D" w:rsidRPr="00D57D3F">
        <w:rPr>
          <w:bCs/>
        </w:rPr>
        <w:t xml:space="preserve">je </w:t>
      </w:r>
      <w:r w:rsidR="004B0A6B" w:rsidRPr="00D57D3F">
        <w:rPr>
          <w:bCs/>
        </w:rPr>
        <w:t xml:space="preserve">také </w:t>
      </w:r>
      <w:r w:rsidR="00E0536D" w:rsidRPr="00D57D3F">
        <w:rPr>
          <w:bCs/>
        </w:rPr>
        <w:t xml:space="preserve">používán </w:t>
      </w:r>
      <w:r w:rsidR="0075439F" w:rsidRPr="00D57D3F">
        <w:rPr>
          <w:bCs/>
        </w:rPr>
        <w:t>metodický návod</w:t>
      </w:r>
      <w:r w:rsidRPr="00D57D3F">
        <w:rPr>
          <w:bCs/>
        </w:rPr>
        <w:t xml:space="preserve"> MŽP</w:t>
      </w:r>
      <w:r w:rsidR="00FC410C" w:rsidRPr="00D57D3F">
        <w:rPr>
          <w:bCs/>
        </w:rPr>
        <w:t xml:space="preserve"> </w:t>
      </w:r>
      <w:r w:rsidR="00EA1181" w:rsidRPr="00D57D3F">
        <w:rPr>
          <w:bCs/>
        </w:rPr>
        <w:t xml:space="preserve">z roku </w:t>
      </w:r>
      <w:r w:rsidR="00FC410C" w:rsidRPr="00D57D3F">
        <w:rPr>
          <w:bCs/>
        </w:rPr>
        <w:t>2016</w:t>
      </w:r>
      <w:r w:rsidRPr="00D57D3F">
        <w:rPr>
          <w:bCs/>
        </w:rPr>
        <w:t xml:space="preserve"> </w:t>
      </w:r>
      <w:r w:rsidR="00FC410C" w:rsidRPr="00D57D3F">
        <w:rPr>
          <w:bCs/>
        </w:rPr>
        <w:t xml:space="preserve">v oblasti nakládání s </w:t>
      </w:r>
      <w:r w:rsidR="0075439F" w:rsidRPr="00D57D3F">
        <w:rPr>
          <w:bCs/>
        </w:rPr>
        <w:t>odpady z extrudovaného polystyrenu s obsahem HBCDD (</w:t>
      </w:r>
      <w:proofErr w:type="spellStart"/>
      <w:proofErr w:type="gramStart"/>
      <w:r w:rsidR="0075439F" w:rsidRPr="00D57D3F">
        <w:rPr>
          <w:bCs/>
        </w:rPr>
        <w:t>hexabromcyklododekan</w:t>
      </w:r>
      <w:proofErr w:type="spellEnd"/>
      <w:r w:rsidR="0075439F" w:rsidRPr="00D57D3F">
        <w:rPr>
          <w:bCs/>
        </w:rPr>
        <w:t xml:space="preserve"> - látka</w:t>
      </w:r>
      <w:proofErr w:type="gramEnd"/>
      <w:r w:rsidR="0075439F" w:rsidRPr="00D57D3F">
        <w:rPr>
          <w:bCs/>
        </w:rPr>
        <w:t xml:space="preserve"> zpomalující hoření). HBCDD je zařazen mezi perzistentní organické znečišťující látky (</w:t>
      </w:r>
      <w:proofErr w:type="spellStart"/>
      <w:r w:rsidR="0075439F" w:rsidRPr="00D57D3F">
        <w:rPr>
          <w:bCs/>
        </w:rPr>
        <w:t>POPs</w:t>
      </w:r>
      <w:proofErr w:type="spellEnd"/>
      <w:r w:rsidR="0075439F" w:rsidRPr="00D57D3F">
        <w:rPr>
          <w:bCs/>
        </w:rPr>
        <w:t xml:space="preserve">), které jsou škodlivé pro lidské zdraví a životní prostředí a od roku 2015 je používání této látky Evropskou komisí ve výrobcích </w:t>
      </w:r>
      <w:r w:rsidR="009E62E4" w:rsidRPr="00D57D3F">
        <w:rPr>
          <w:bCs/>
        </w:rPr>
        <w:t xml:space="preserve">již </w:t>
      </w:r>
      <w:r w:rsidR="0075439F" w:rsidRPr="00D57D3F">
        <w:rPr>
          <w:bCs/>
        </w:rPr>
        <w:t>zakázáno.</w:t>
      </w:r>
      <w:r w:rsidR="004617F5" w:rsidRPr="00D57D3F">
        <w:rPr>
          <w:bCs/>
        </w:rPr>
        <w:t xml:space="preserve"> </w:t>
      </w:r>
      <w:r w:rsidR="004617F5" w:rsidRPr="00D57D3F">
        <w:t xml:space="preserve">Odbor odpadů MŽP stanovil, že odpadní polystyren s obsahem HBCDD je nutno odstraňovat ve spalovnách nebezpečného odpadu. </w:t>
      </w:r>
    </w:p>
    <w:p w:rsidR="004617F5" w:rsidRPr="00D57D3F" w:rsidRDefault="004617F5" w:rsidP="00D57D3F">
      <w:pPr>
        <w:spacing w:line="276" w:lineRule="auto"/>
        <w:rPr>
          <w:bCs/>
        </w:rPr>
      </w:pPr>
    </w:p>
    <w:p w:rsidR="00F67D75" w:rsidRPr="00D57D3F" w:rsidRDefault="008C12E6" w:rsidP="00BF734A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>Obaly</w:t>
      </w:r>
    </w:p>
    <w:p w:rsidR="00391CB5" w:rsidRPr="00D57D3F" w:rsidRDefault="008C12E6" w:rsidP="00F26225">
      <w:pPr>
        <w:spacing w:after="120" w:line="276" w:lineRule="auto"/>
      </w:pPr>
      <w:r w:rsidRPr="00D57D3F">
        <w:t xml:space="preserve">Odpady </w:t>
      </w:r>
      <w:r w:rsidR="00F91166" w:rsidRPr="00D57D3F">
        <w:t xml:space="preserve">z obalů </w:t>
      </w:r>
      <w:r w:rsidRPr="00D57D3F">
        <w:t xml:space="preserve">legislativně pokrývá </w:t>
      </w:r>
      <w:r w:rsidR="00F91166" w:rsidRPr="00D57D3F">
        <w:t xml:space="preserve">zákon č. 477/2001 Sb., o obalech, který všem subjektům uvádějícím na trh či do oběhu obaly nebo balené výrobky mimo jiné ukládá plnit </w:t>
      </w:r>
      <w:r w:rsidR="00D847C1" w:rsidRPr="00D57D3F">
        <w:t xml:space="preserve">své povinnosti </w:t>
      </w:r>
      <w:r w:rsidR="00F91166" w:rsidRPr="00D57D3F">
        <w:t>buď samostatně, nebo sdruženě prostřednictvím autorizované obalové společnosti EKO-KOM, a.s. Ve srovnání počtu zapojených klientů, plnících své povinnosti dané zákonem o</w:t>
      </w:r>
      <w:r w:rsidR="00160D63" w:rsidRPr="00D57D3F">
        <w:t> </w:t>
      </w:r>
      <w:r w:rsidR="00F91166" w:rsidRPr="00D57D3F">
        <w:t>obalech prostřednictvím autorizované obalové společnosti, nedošlo mezi roky 201</w:t>
      </w:r>
      <w:r w:rsidR="00565845" w:rsidRPr="00D57D3F">
        <w:t>9</w:t>
      </w:r>
      <w:r w:rsidR="00F91166" w:rsidRPr="00D57D3F">
        <w:t xml:space="preserve"> a 20</w:t>
      </w:r>
      <w:r w:rsidR="00565845" w:rsidRPr="00D57D3F">
        <w:t>20</w:t>
      </w:r>
      <w:r w:rsidR="00F91166" w:rsidRPr="00D57D3F">
        <w:t xml:space="preserve"> k</w:t>
      </w:r>
      <w:r w:rsidR="00565845" w:rsidRPr="00D57D3F">
        <w:t xml:space="preserve"> žádné </w:t>
      </w:r>
      <w:r w:rsidR="00F91166" w:rsidRPr="00D57D3F">
        <w:t>výrazné změně. V roce 20</w:t>
      </w:r>
      <w:r w:rsidR="0082143B" w:rsidRPr="00D57D3F">
        <w:t>20</w:t>
      </w:r>
      <w:r w:rsidR="00F91166" w:rsidRPr="00D57D3F">
        <w:t xml:space="preserve"> počet klientů zapojených do systému autorizované obalové společnosti EKO-KOM, a.s. dosáhl hodnoty </w:t>
      </w:r>
      <w:r w:rsidRPr="00D57D3F">
        <w:t>21</w:t>
      </w:r>
      <w:r w:rsidR="00901596" w:rsidRPr="00D57D3F">
        <w:t xml:space="preserve"> 223 </w:t>
      </w:r>
      <w:r w:rsidR="00F91166" w:rsidRPr="00D57D3F">
        <w:t>subjektů. Počet zapojených obcí do systému EKO-KOM se postupně navyšuje a v roce 20</w:t>
      </w:r>
      <w:r w:rsidR="0082143B" w:rsidRPr="00D57D3F">
        <w:t>20</w:t>
      </w:r>
      <w:r w:rsidR="00F91166" w:rsidRPr="00D57D3F">
        <w:t xml:space="preserve"> bylo do systému zapojeno již 6 1</w:t>
      </w:r>
      <w:r w:rsidR="00901596" w:rsidRPr="00D57D3F">
        <w:t>60</w:t>
      </w:r>
      <w:r w:rsidR="00F91166" w:rsidRPr="00D57D3F">
        <w:t xml:space="preserve"> obcí (z celkového počtu 6 258 obcí v ČR), ve kterých žije 10,</w:t>
      </w:r>
      <w:r w:rsidR="00A078CE" w:rsidRPr="00D57D3F">
        <w:t>6</w:t>
      </w:r>
      <w:r w:rsidR="00F91166" w:rsidRPr="00D57D3F">
        <w:t xml:space="preserve"> mil. obyvatel (</w:t>
      </w:r>
      <w:r w:rsidR="00901596" w:rsidRPr="00D57D3F">
        <w:t>přes</w:t>
      </w:r>
      <w:r w:rsidR="00F91166" w:rsidRPr="00D57D3F">
        <w:t xml:space="preserve"> 99 % celé české populace). </w:t>
      </w:r>
      <w:r w:rsidR="000874DD" w:rsidRPr="00D57D3F">
        <w:t xml:space="preserve">Všichni obyvatelé těchto obcí mají možnost třídit své odpady. Účast na třídění postupně narůstá, zejména díky dobré dostupnosti systému třídění a osvětě obyvatel. </w:t>
      </w:r>
      <w:r w:rsidR="00F91166" w:rsidRPr="00D57D3F">
        <w:t xml:space="preserve">Podíl odpadů z obalů evidovaných v rámci systému EKO-KOM z celkového množství vzniklých obalových odpadů </w:t>
      </w:r>
      <w:r w:rsidR="00901596" w:rsidRPr="00D57D3F">
        <w:t xml:space="preserve">stále činí okolo 90 %. </w:t>
      </w:r>
      <w:r w:rsidR="00A77E4C" w:rsidRPr="00D57D3F">
        <w:t xml:space="preserve"> </w:t>
      </w:r>
      <w:bookmarkStart w:id="19" w:name="_Ref488829144"/>
      <w:bookmarkStart w:id="20" w:name="_Toc490815293"/>
    </w:p>
    <w:p w:rsidR="00796F85" w:rsidRPr="00D57D3F" w:rsidRDefault="008C12E6" w:rsidP="00C85F64">
      <w:pPr>
        <w:spacing w:after="120" w:line="276" w:lineRule="auto"/>
      </w:pPr>
      <w:bookmarkStart w:id="21" w:name="_Hlk100936984"/>
      <w:r w:rsidRPr="00D57D3F">
        <w:rPr>
          <w:b/>
        </w:rPr>
        <w:t>Produkce odpadů z</w:t>
      </w:r>
      <w:r w:rsidR="00FD3A6A" w:rsidRPr="00D57D3F">
        <w:rPr>
          <w:b/>
        </w:rPr>
        <w:t> </w:t>
      </w:r>
      <w:r w:rsidRPr="00D57D3F">
        <w:rPr>
          <w:b/>
        </w:rPr>
        <w:t>obalů</w:t>
      </w:r>
      <w:bookmarkEnd w:id="19"/>
      <w:bookmarkEnd w:id="20"/>
      <w:r w:rsidR="00FD3A6A" w:rsidRPr="00D57D3F">
        <w:rPr>
          <w:b/>
        </w:rPr>
        <w:t xml:space="preserve"> v roce 20</w:t>
      </w:r>
      <w:r w:rsidR="00597892" w:rsidRPr="00D57D3F">
        <w:rPr>
          <w:b/>
        </w:rPr>
        <w:t>20</w:t>
      </w:r>
      <w:r w:rsidR="00FD3A6A" w:rsidRPr="00D57D3F">
        <w:rPr>
          <w:b/>
        </w:rPr>
        <w:t xml:space="preserve"> v </w:t>
      </w:r>
      <w:r w:rsidR="00D12C29" w:rsidRPr="00D57D3F">
        <w:rPr>
          <w:b/>
        </w:rPr>
        <w:t xml:space="preserve">ČR </w:t>
      </w:r>
      <w:r w:rsidR="00FD3A6A" w:rsidRPr="00D57D3F">
        <w:rPr>
          <w:b/>
        </w:rPr>
        <w:t xml:space="preserve">dosáhla </w:t>
      </w:r>
      <w:r w:rsidR="00D12C29" w:rsidRPr="00D57D3F">
        <w:rPr>
          <w:b/>
        </w:rPr>
        <w:t>1</w:t>
      </w:r>
      <w:r w:rsidR="00CD3D58" w:rsidRPr="00D57D3F">
        <w:rPr>
          <w:b/>
        </w:rPr>
        <w:t> </w:t>
      </w:r>
      <w:r w:rsidR="00597892" w:rsidRPr="00D57D3F">
        <w:rPr>
          <w:b/>
        </w:rPr>
        <w:t>328</w:t>
      </w:r>
      <w:r w:rsidR="00CD3D58" w:rsidRPr="00D57D3F">
        <w:rPr>
          <w:b/>
        </w:rPr>
        <w:t>,</w:t>
      </w:r>
      <w:r w:rsidR="00597892" w:rsidRPr="00D57D3F">
        <w:rPr>
          <w:b/>
        </w:rPr>
        <w:t>7</w:t>
      </w:r>
      <w:r w:rsidR="00D12C29" w:rsidRPr="00D57D3F">
        <w:rPr>
          <w:b/>
        </w:rPr>
        <w:t xml:space="preserve"> tis. t odpadů z obalů a</w:t>
      </w:r>
      <w:r w:rsidR="0033663C" w:rsidRPr="00D57D3F">
        <w:rPr>
          <w:b/>
        </w:rPr>
        <w:t> </w:t>
      </w:r>
      <w:r w:rsidR="00D12C29" w:rsidRPr="00D57D3F">
        <w:rPr>
          <w:b/>
        </w:rPr>
        <w:t>v</w:t>
      </w:r>
      <w:r w:rsidR="0033663C" w:rsidRPr="00D57D3F">
        <w:rPr>
          <w:b/>
        </w:rPr>
        <w:t> </w:t>
      </w:r>
      <w:r w:rsidR="00D12C29" w:rsidRPr="00D57D3F">
        <w:rPr>
          <w:b/>
        </w:rPr>
        <w:t>porovnání s rokem 20</w:t>
      </w:r>
      <w:r w:rsidR="00597892" w:rsidRPr="00D57D3F">
        <w:rPr>
          <w:b/>
        </w:rPr>
        <w:t>19</w:t>
      </w:r>
      <w:r w:rsidR="00D12C29" w:rsidRPr="00D57D3F">
        <w:rPr>
          <w:b/>
        </w:rPr>
        <w:t xml:space="preserve"> </w:t>
      </w:r>
      <w:r w:rsidR="00CD3D58" w:rsidRPr="00D57D3F">
        <w:rPr>
          <w:b/>
        </w:rPr>
        <w:t>(1</w:t>
      </w:r>
      <w:r w:rsidR="00597892" w:rsidRPr="00D57D3F">
        <w:rPr>
          <w:b/>
        </w:rPr>
        <w:t> 334,4</w:t>
      </w:r>
      <w:r w:rsidR="00CD3D58" w:rsidRPr="00D57D3F">
        <w:rPr>
          <w:b/>
        </w:rPr>
        <w:t xml:space="preserve"> tis. t) </w:t>
      </w:r>
      <w:r w:rsidR="00D12C29" w:rsidRPr="00D57D3F">
        <w:rPr>
          <w:b/>
        </w:rPr>
        <w:t>tak došlo k</w:t>
      </w:r>
      <w:r w:rsidR="00357D08" w:rsidRPr="00D57D3F">
        <w:rPr>
          <w:b/>
        </w:rPr>
        <w:t xml:space="preserve"> mírnému </w:t>
      </w:r>
      <w:r w:rsidR="00357D08" w:rsidRPr="00D57D3F">
        <w:rPr>
          <w:b/>
          <w:color w:val="000000" w:themeColor="text1"/>
        </w:rPr>
        <w:t>snížení</w:t>
      </w:r>
      <w:r w:rsidR="00D12C29" w:rsidRPr="00D57D3F">
        <w:rPr>
          <w:b/>
          <w:color w:val="000000" w:themeColor="text1"/>
        </w:rPr>
        <w:t xml:space="preserve"> o </w:t>
      </w:r>
      <w:r w:rsidRPr="00D57D3F">
        <w:rPr>
          <w:b/>
          <w:color w:val="000000" w:themeColor="text1"/>
        </w:rPr>
        <w:t>0</w:t>
      </w:r>
      <w:r w:rsidR="00D12C29" w:rsidRPr="00D57D3F">
        <w:rPr>
          <w:b/>
          <w:color w:val="000000" w:themeColor="text1"/>
        </w:rPr>
        <w:t>,</w:t>
      </w:r>
      <w:r w:rsidR="0061007E" w:rsidRPr="00D57D3F">
        <w:rPr>
          <w:b/>
          <w:color w:val="000000" w:themeColor="text1"/>
        </w:rPr>
        <w:t>5</w:t>
      </w:r>
      <w:r w:rsidR="00D12C29" w:rsidRPr="00D57D3F">
        <w:rPr>
          <w:b/>
          <w:color w:val="000000" w:themeColor="text1"/>
        </w:rPr>
        <w:t xml:space="preserve"> %.</w:t>
      </w:r>
      <w:bookmarkEnd w:id="21"/>
      <w:r w:rsidR="00D12C29" w:rsidRPr="00D57D3F">
        <w:rPr>
          <w:b/>
          <w:color w:val="000000" w:themeColor="text1"/>
        </w:rPr>
        <w:t xml:space="preserve"> </w:t>
      </w:r>
      <w:r w:rsidR="00D12C29" w:rsidRPr="00D57D3F">
        <w:rPr>
          <w:color w:val="000000" w:themeColor="text1"/>
        </w:rPr>
        <w:t xml:space="preserve">Produkce </w:t>
      </w:r>
      <w:r w:rsidR="00D12C29" w:rsidRPr="00D57D3F">
        <w:t>odpadů z</w:t>
      </w:r>
      <w:r w:rsidR="00010AAC" w:rsidRPr="00D57D3F">
        <w:t> </w:t>
      </w:r>
      <w:r w:rsidR="00D12C29" w:rsidRPr="00D57D3F">
        <w:t xml:space="preserve">obalů </w:t>
      </w:r>
      <w:r w:rsidR="00357D08" w:rsidRPr="00D57D3F">
        <w:t>měla</w:t>
      </w:r>
      <w:r w:rsidR="00D12C29" w:rsidRPr="00D57D3F">
        <w:t xml:space="preserve"> </w:t>
      </w:r>
      <w:r w:rsidR="008B6C82" w:rsidRPr="00D57D3F">
        <w:t xml:space="preserve">dlouhodobě </w:t>
      </w:r>
      <w:r w:rsidR="00D12C29" w:rsidRPr="00D57D3F">
        <w:t>rostoucí trend</w:t>
      </w:r>
      <w:r w:rsidR="00357D08" w:rsidRPr="00D57D3F">
        <w:t>, z poslední hodnoty zatím nelze usuzovat</w:t>
      </w:r>
      <w:r w:rsidRPr="00D57D3F">
        <w:t xml:space="preserve">, </w:t>
      </w:r>
      <w:r w:rsidR="00357D08" w:rsidRPr="00D57D3F">
        <w:t>zda dojde k jeho změně</w:t>
      </w:r>
      <w:r w:rsidR="00357D08" w:rsidRPr="00D57D3F">
        <w:rPr>
          <w:b/>
        </w:rPr>
        <w:t>.</w:t>
      </w:r>
      <w:r w:rsidR="00D12C29" w:rsidRPr="00D57D3F">
        <w:t xml:space="preserve"> Z</w:t>
      </w:r>
      <w:r w:rsidR="00160D63" w:rsidRPr="00D57D3F">
        <w:t> </w:t>
      </w:r>
      <w:r w:rsidR="00D12C29" w:rsidRPr="00D57D3F">
        <w:t xml:space="preserve">hlediska materiálové struktury odpadů z obalů jsou </w:t>
      </w:r>
      <w:r w:rsidR="002962A2" w:rsidRPr="00D57D3F">
        <w:t>v roce 20</w:t>
      </w:r>
      <w:r w:rsidR="00357D08" w:rsidRPr="00D57D3F">
        <w:t>20</w:t>
      </w:r>
      <w:r w:rsidR="002962A2" w:rsidRPr="00D57D3F">
        <w:t xml:space="preserve"> </w:t>
      </w:r>
      <w:r w:rsidR="00D12C29" w:rsidRPr="00D57D3F">
        <w:t>nejčastěji zastoupeny papírové či lepenkové obaly 4</w:t>
      </w:r>
      <w:r w:rsidRPr="00D57D3F">
        <w:t>1,3</w:t>
      </w:r>
      <w:r w:rsidR="00D12C29" w:rsidRPr="00D57D3F">
        <w:t xml:space="preserve"> %, následují plasty 20 %, sklo 1</w:t>
      </w:r>
      <w:r w:rsidR="002962A2" w:rsidRPr="00D57D3F">
        <w:t>6</w:t>
      </w:r>
      <w:r w:rsidR="00D12C29" w:rsidRPr="00D57D3F">
        <w:t>,</w:t>
      </w:r>
      <w:r w:rsidR="007507E3" w:rsidRPr="00D57D3F">
        <w:t>7</w:t>
      </w:r>
      <w:r w:rsidR="00D12C29" w:rsidRPr="00D57D3F">
        <w:t xml:space="preserve"> %</w:t>
      </w:r>
      <w:r w:rsidR="002962A2" w:rsidRPr="00D57D3F">
        <w:t xml:space="preserve"> a</w:t>
      </w:r>
      <w:r w:rsidR="002326C1" w:rsidRPr="00D57D3F">
        <w:t> </w:t>
      </w:r>
      <w:r w:rsidR="002962A2" w:rsidRPr="00D57D3F">
        <w:t>dřevo 13,</w:t>
      </w:r>
      <w:r w:rsidR="007507E3" w:rsidRPr="00D57D3F">
        <w:t>3</w:t>
      </w:r>
      <w:r w:rsidR="002962A2" w:rsidRPr="00D57D3F">
        <w:t xml:space="preserve"> %</w:t>
      </w:r>
      <w:r w:rsidR="00D12C29" w:rsidRPr="00D57D3F">
        <w:t xml:space="preserve">. </w:t>
      </w:r>
    </w:p>
    <w:p w:rsidR="00154427" w:rsidRPr="00D57D3F" w:rsidRDefault="008C12E6" w:rsidP="00154427">
      <w:pPr>
        <w:spacing w:line="276" w:lineRule="auto"/>
      </w:pPr>
      <w:r w:rsidRPr="00D57D3F">
        <w:rPr>
          <w:b/>
        </w:rPr>
        <w:lastRenderedPageBreak/>
        <w:t xml:space="preserve">Celkové množství využitých </w:t>
      </w:r>
      <w:r w:rsidRPr="00D57D3F">
        <w:rPr>
          <w:b/>
        </w:rPr>
        <w:t>odpadů z obalů</w:t>
      </w:r>
      <w:r w:rsidRPr="00D57D3F">
        <w:t xml:space="preserve"> v ČR v roce 201</w:t>
      </w:r>
      <w:r w:rsidR="0091204D" w:rsidRPr="00D57D3F">
        <w:t>9</w:t>
      </w:r>
      <w:r w:rsidRPr="00D57D3F">
        <w:t xml:space="preserve"> činilo</w:t>
      </w:r>
      <w:r w:rsidRPr="00D57D3F">
        <w:rPr>
          <w:rFonts w:cs="Helv"/>
          <w:color w:val="000000"/>
          <w:szCs w:val="24"/>
        </w:rPr>
        <w:t xml:space="preserve"> </w:t>
      </w:r>
      <w:r w:rsidR="0091204D" w:rsidRPr="00D57D3F">
        <w:rPr>
          <w:rFonts w:cs="Helv"/>
          <w:color w:val="000000"/>
          <w:szCs w:val="24"/>
        </w:rPr>
        <w:t xml:space="preserve">1 007,3 </w:t>
      </w:r>
      <w:r w:rsidRPr="00D57D3F">
        <w:rPr>
          <w:rFonts w:cs="Helv"/>
          <w:color w:val="000000"/>
          <w:szCs w:val="24"/>
        </w:rPr>
        <w:t xml:space="preserve">tis. t, </w:t>
      </w:r>
      <w:r w:rsidRPr="00D57D3F">
        <w:t>tj. 7</w:t>
      </w:r>
      <w:r w:rsidR="0091204D" w:rsidRPr="00D57D3F">
        <w:t>5</w:t>
      </w:r>
      <w:r w:rsidRPr="00D57D3F">
        <w:t>,</w:t>
      </w:r>
      <w:r w:rsidR="0091204D" w:rsidRPr="00D57D3F">
        <w:t>5</w:t>
      </w:r>
      <w:r w:rsidRPr="00D57D3F">
        <w:t xml:space="preserve"> % z celkového množství vzniklých odpadů z obalů. </w:t>
      </w:r>
      <w:r w:rsidRPr="00D57D3F">
        <w:rPr>
          <w:b/>
        </w:rPr>
        <w:t>Cíl pro rok 201</w:t>
      </w:r>
      <w:r w:rsidR="0091204D" w:rsidRPr="00D57D3F">
        <w:rPr>
          <w:b/>
        </w:rPr>
        <w:t>9</w:t>
      </w:r>
      <w:r w:rsidRPr="00D57D3F">
        <w:t xml:space="preserve"> (</w:t>
      </w:r>
      <w:r w:rsidR="00BB5496" w:rsidRPr="00D57D3F">
        <w:t>70</w:t>
      </w:r>
      <w:r w:rsidRPr="00D57D3F">
        <w:t xml:space="preserve"> %) </w:t>
      </w:r>
      <w:r w:rsidRPr="00D57D3F">
        <w:rPr>
          <w:b/>
        </w:rPr>
        <w:t>byl splněn</w:t>
      </w:r>
      <w:r w:rsidRPr="00D57D3F">
        <w:t xml:space="preserve">. </w:t>
      </w:r>
    </w:p>
    <w:p w:rsidR="00D12C29" w:rsidRPr="00300CC4" w:rsidRDefault="008C12E6" w:rsidP="00D12C29">
      <w:pPr>
        <w:spacing w:line="276" w:lineRule="auto"/>
        <w:rPr>
          <w:color w:val="000000" w:themeColor="text1"/>
        </w:rPr>
      </w:pPr>
      <w:r w:rsidRPr="00D57D3F">
        <w:t>Celkové množství využitých odpadů z obalů v ČR v roce 20</w:t>
      </w:r>
      <w:r w:rsidR="0091204D" w:rsidRPr="00D57D3F">
        <w:t>20</w:t>
      </w:r>
      <w:r w:rsidRPr="00D57D3F">
        <w:t xml:space="preserve"> činilo </w:t>
      </w:r>
      <w:r w:rsidR="0091204D" w:rsidRPr="00D57D3F">
        <w:t>1 027,7</w:t>
      </w:r>
      <w:r w:rsidRPr="00D57D3F">
        <w:t xml:space="preserve"> tis. t, tj. 7</w:t>
      </w:r>
      <w:r w:rsidR="0091204D" w:rsidRPr="00D57D3F">
        <w:t>7,3</w:t>
      </w:r>
      <w:r w:rsidRPr="00D57D3F">
        <w:t xml:space="preserve"> % z</w:t>
      </w:r>
      <w:r w:rsidR="00160D63" w:rsidRPr="00D57D3F">
        <w:t> </w:t>
      </w:r>
      <w:r w:rsidRPr="00D57D3F">
        <w:t xml:space="preserve">celkového množství vzniklých odpadů z obalů. </w:t>
      </w:r>
      <w:r w:rsidRPr="00D57D3F">
        <w:rPr>
          <w:b/>
        </w:rPr>
        <w:t xml:space="preserve">Cíl </w:t>
      </w:r>
      <w:r w:rsidR="002E4F4A" w:rsidRPr="00D57D3F">
        <w:rPr>
          <w:b/>
        </w:rPr>
        <w:t xml:space="preserve">využití obalových odpadů </w:t>
      </w:r>
      <w:r w:rsidRPr="00D57D3F">
        <w:rPr>
          <w:b/>
        </w:rPr>
        <w:t>pro rok 20</w:t>
      </w:r>
      <w:r w:rsidR="0091204D" w:rsidRPr="00D57D3F">
        <w:rPr>
          <w:b/>
        </w:rPr>
        <w:t>20</w:t>
      </w:r>
      <w:r w:rsidRPr="00D57D3F">
        <w:t xml:space="preserve"> (</w:t>
      </w:r>
      <w:r w:rsidR="00680917" w:rsidRPr="00D57D3F">
        <w:t>8</w:t>
      </w:r>
      <w:r w:rsidR="00BB5496" w:rsidRPr="00D57D3F">
        <w:t>0</w:t>
      </w:r>
      <w:r w:rsidRPr="00D57D3F">
        <w:t xml:space="preserve"> </w:t>
      </w:r>
      <w:r w:rsidRPr="00300CC4">
        <w:rPr>
          <w:color w:val="000000" w:themeColor="text1"/>
        </w:rPr>
        <w:t xml:space="preserve">%) </w:t>
      </w:r>
      <w:r w:rsidRPr="00300CC4">
        <w:rPr>
          <w:b/>
          <w:color w:val="000000" w:themeColor="text1"/>
        </w:rPr>
        <w:t xml:space="preserve">byl </w:t>
      </w:r>
      <w:r w:rsidR="003A0D44" w:rsidRPr="00300CC4">
        <w:rPr>
          <w:b/>
          <w:color w:val="000000" w:themeColor="text1"/>
        </w:rPr>
        <w:t xml:space="preserve">částečně </w:t>
      </w:r>
      <w:r w:rsidRPr="00300CC4">
        <w:rPr>
          <w:b/>
          <w:color w:val="000000" w:themeColor="text1"/>
        </w:rPr>
        <w:t>plněn</w:t>
      </w:r>
      <w:r w:rsidRPr="00300CC4">
        <w:rPr>
          <w:color w:val="000000" w:themeColor="text1"/>
        </w:rPr>
        <w:t xml:space="preserve">. </w:t>
      </w:r>
    </w:p>
    <w:p w:rsidR="009D1AF7" w:rsidRPr="00300CC4" w:rsidRDefault="008C12E6" w:rsidP="009D1AF7">
      <w:pPr>
        <w:spacing w:after="120" w:line="276" w:lineRule="auto"/>
        <w:rPr>
          <w:color w:val="000000" w:themeColor="text1"/>
        </w:rPr>
      </w:pPr>
      <w:r w:rsidRPr="00300CC4">
        <w:rPr>
          <w:color w:val="000000" w:themeColor="text1"/>
        </w:rPr>
        <w:t>Meziročně 201</w:t>
      </w:r>
      <w:r w:rsidR="009F21AD" w:rsidRPr="00300CC4">
        <w:rPr>
          <w:color w:val="000000" w:themeColor="text1"/>
        </w:rPr>
        <w:t>9</w:t>
      </w:r>
      <w:r w:rsidRPr="00300CC4">
        <w:rPr>
          <w:color w:val="000000" w:themeColor="text1"/>
        </w:rPr>
        <w:t>-20</w:t>
      </w:r>
      <w:r w:rsidR="009F21AD" w:rsidRPr="00300CC4">
        <w:rPr>
          <w:color w:val="000000" w:themeColor="text1"/>
        </w:rPr>
        <w:t>20</w:t>
      </w:r>
      <w:r w:rsidRPr="00300CC4">
        <w:rPr>
          <w:color w:val="000000" w:themeColor="text1"/>
        </w:rPr>
        <w:t xml:space="preserve"> vzrostlo množství využitých odpadů z obalů v</w:t>
      </w:r>
      <w:r w:rsidR="00072B5B" w:rsidRPr="00300CC4">
        <w:rPr>
          <w:color w:val="000000" w:themeColor="text1"/>
        </w:rPr>
        <w:t> </w:t>
      </w:r>
      <w:r w:rsidRPr="00300CC4">
        <w:rPr>
          <w:color w:val="000000" w:themeColor="text1"/>
        </w:rPr>
        <w:t>ČR</w:t>
      </w:r>
      <w:r w:rsidR="00072B5B" w:rsidRPr="00300CC4">
        <w:rPr>
          <w:color w:val="000000" w:themeColor="text1"/>
        </w:rPr>
        <w:t xml:space="preserve"> o </w:t>
      </w:r>
      <w:r w:rsidR="009F21AD" w:rsidRPr="00300CC4">
        <w:rPr>
          <w:color w:val="000000" w:themeColor="text1"/>
        </w:rPr>
        <w:t>20,4</w:t>
      </w:r>
      <w:r w:rsidR="00072B5B" w:rsidRPr="00300CC4">
        <w:rPr>
          <w:color w:val="000000" w:themeColor="text1"/>
          <w:spacing w:val="-5"/>
        </w:rPr>
        <w:t> </w:t>
      </w:r>
      <w:r w:rsidR="00072B5B" w:rsidRPr="00300CC4">
        <w:rPr>
          <w:color w:val="000000" w:themeColor="text1"/>
        </w:rPr>
        <w:t xml:space="preserve">tis. t. </w:t>
      </w:r>
      <w:r w:rsidR="005276D6" w:rsidRPr="00300CC4">
        <w:rPr>
          <w:color w:val="000000" w:themeColor="text1"/>
        </w:rPr>
        <w:t xml:space="preserve"> </w:t>
      </w:r>
      <w:r w:rsidR="00D12C29" w:rsidRPr="00300CC4">
        <w:rPr>
          <w:color w:val="000000" w:themeColor="text1"/>
        </w:rPr>
        <w:t>V</w:t>
      </w:r>
      <w:r w:rsidR="005276D6" w:rsidRPr="00300CC4">
        <w:rPr>
          <w:color w:val="000000" w:themeColor="text1"/>
        </w:rPr>
        <w:t> </w:t>
      </w:r>
      <w:r w:rsidR="00D12C29" w:rsidRPr="00300CC4">
        <w:rPr>
          <w:color w:val="000000" w:themeColor="text1"/>
        </w:rPr>
        <w:t>porovnání s</w:t>
      </w:r>
      <w:r w:rsidR="00FE6869" w:rsidRPr="00300CC4">
        <w:rPr>
          <w:color w:val="000000" w:themeColor="text1"/>
        </w:rPr>
        <w:t xml:space="preserve"> nárůstem </w:t>
      </w:r>
      <w:r w:rsidR="00D12C29" w:rsidRPr="00300CC4">
        <w:rPr>
          <w:color w:val="000000" w:themeColor="text1"/>
        </w:rPr>
        <w:t>produkc</w:t>
      </w:r>
      <w:r w:rsidR="00FE6869" w:rsidRPr="00300CC4">
        <w:rPr>
          <w:color w:val="000000" w:themeColor="text1"/>
        </w:rPr>
        <w:t>e</w:t>
      </w:r>
      <w:r w:rsidR="00D12C29" w:rsidRPr="00300CC4">
        <w:rPr>
          <w:color w:val="000000" w:themeColor="text1"/>
        </w:rPr>
        <w:t xml:space="preserve"> odpadů z obalů </w:t>
      </w:r>
      <w:r w:rsidR="00F56A5F" w:rsidRPr="00300CC4">
        <w:rPr>
          <w:color w:val="000000" w:themeColor="text1"/>
        </w:rPr>
        <w:t xml:space="preserve">v posledních letech </w:t>
      </w:r>
      <w:r w:rsidR="00D12C29" w:rsidRPr="00300CC4">
        <w:rPr>
          <w:color w:val="000000" w:themeColor="text1"/>
        </w:rPr>
        <w:t xml:space="preserve">je pozitivní, že dochází i ke zvyšování míry recyklovaných odpadů z obalů (Graf </w:t>
      </w:r>
      <w:r w:rsidR="00D57D3F" w:rsidRPr="00300CC4">
        <w:rPr>
          <w:color w:val="000000" w:themeColor="text1"/>
        </w:rPr>
        <w:t>4</w:t>
      </w:r>
      <w:r w:rsidR="00D12C29" w:rsidRPr="00300CC4">
        <w:rPr>
          <w:color w:val="000000" w:themeColor="text1"/>
        </w:rPr>
        <w:t>).</w:t>
      </w:r>
    </w:p>
    <w:p w:rsidR="00D12C29" w:rsidRPr="00300CC4" w:rsidRDefault="008C12E6" w:rsidP="009D1AF7">
      <w:pPr>
        <w:spacing w:after="120" w:line="276" w:lineRule="auto"/>
        <w:rPr>
          <w:color w:val="000000" w:themeColor="text1"/>
        </w:rPr>
      </w:pPr>
      <w:r w:rsidRPr="00300CC4">
        <w:rPr>
          <w:b/>
          <w:color w:val="000000" w:themeColor="text1"/>
        </w:rPr>
        <w:t>Recyklace</w:t>
      </w:r>
      <w:r w:rsidRPr="00300CC4">
        <w:rPr>
          <w:color w:val="000000" w:themeColor="text1"/>
        </w:rPr>
        <w:t xml:space="preserve"> odpadů z obalů je nejčastějším způsobem jejich využití.</w:t>
      </w:r>
      <w:r w:rsidR="00596388" w:rsidRPr="00300CC4">
        <w:rPr>
          <w:color w:val="000000" w:themeColor="text1"/>
        </w:rPr>
        <w:t xml:space="preserve"> </w:t>
      </w:r>
      <w:bookmarkStart w:id="22" w:name="_Hlk100937421"/>
      <w:r w:rsidRPr="00300CC4">
        <w:rPr>
          <w:color w:val="000000" w:themeColor="text1"/>
        </w:rPr>
        <w:t>Meziročně 201</w:t>
      </w:r>
      <w:r w:rsidR="00F56A5F" w:rsidRPr="00300CC4">
        <w:rPr>
          <w:color w:val="000000" w:themeColor="text1"/>
        </w:rPr>
        <w:t>9</w:t>
      </w:r>
      <w:r w:rsidR="00FE6869" w:rsidRPr="00300CC4">
        <w:rPr>
          <w:color w:val="000000" w:themeColor="text1"/>
        </w:rPr>
        <w:t>-</w:t>
      </w:r>
      <w:r w:rsidRPr="00300CC4">
        <w:rPr>
          <w:color w:val="000000" w:themeColor="text1"/>
        </w:rPr>
        <w:t>20</w:t>
      </w:r>
      <w:r w:rsidR="00F56A5F" w:rsidRPr="00300CC4">
        <w:rPr>
          <w:color w:val="000000" w:themeColor="text1"/>
        </w:rPr>
        <w:t>20</w:t>
      </w:r>
      <w:r w:rsidRPr="00300CC4">
        <w:rPr>
          <w:color w:val="000000" w:themeColor="text1"/>
        </w:rPr>
        <w:t xml:space="preserve"> došlo k</w:t>
      </w:r>
      <w:r w:rsidR="00CC08D8" w:rsidRPr="00300CC4">
        <w:rPr>
          <w:color w:val="000000" w:themeColor="text1"/>
        </w:rPr>
        <w:t> mírnému poklesu</w:t>
      </w:r>
      <w:r w:rsidRPr="00300CC4">
        <w:rPr>
          <w:color w:val="000000" w:themeColor="text1"/>
        </w:rPr>
        <w:t xml:space="preserve"> </w:t>
      </w:r>
      <w:r w:rsidRPr="00300CC4">
        <w:rPr>
          <w:b/>
          <w:color w:val="000000" w:themeColor="text1"/>
        </w:rPr>
        <w:t>množství recyklovaných odpadů z obalů</w:t>
      </w:r>
      <w:r w:rsidRPr="00300CC4">
        <w:rPr>
          <w:color w:val="000000" w:themeColor="text1"/>
        </w:rPr>
        <w:t xml:space="preserve"> </w:t>
      </w:r>
      <w:bookmarkStart w:id="23" w:name="_Hlk100937488"/>
      <w:bookmarkEnd w:id="22"/>
      <w:r w:rsidR="00BB5496" w:rsidRPr="00300CC4">
        <w:rPr>
          <w:color w:val="000000" w:themeColor="text1"/>
        </w:rPr>
        <w:t xml:space="preserve">o </w:t>
      </w:r>
      <w:r w:rsidR="00CC08D8" w:rsidRPr="00300CC4">
        <w:rPr>
          <w:color w:val="000000" w:themeColor="text1"/>
        </w:rPr>
        <w:t>48,4</w:t>
      </w:r>
      <w:r w:rsidRPr="00300CC4">
        <w:rPr>
          <w:color w:val="000000" w:themeColor="text1"/>
        </w:rPr>
        <w:t xml:space="preserve"> tis. t na celkových </w:t>
      </w:r>
      <w:r w:rsidR="00CD3D58" w:rsidRPr="00300CC4">
        <w:rPr>
          <w:color w:val="000000" w:themeColor="text1"/>
        </w:rPr>
        <w:t>902,</w:t>
      </w:r>
      <w:r w:rsidR="00CC08D8" w:rsidRPr="00300CC4">
        <w:rPr>
          <w:color w:val="000000" w:themeColor="text1"/>
        </w:rPr>
        <w:t>3</w:t>
      </w:r>
      <w:r w:rsidRPr="00300CC4">
        <w:rPr>
          <w:color w:val="000000" w:themeColor="text1"/>
        </w:rPr>
        <w:t xml:space="preserve"> tis. t</w:t>
      </w:r>
      <w:r w:rsidR="00BB5496" w:rsidRPr="00300CC4">
        <w:rPr>
          <w:color w:val="000000" w:themeColor="text1"/>
        </w:rPr>
        <w:t xml:space="preserve"> v</w:t>
      </w:r>
      <w:r w:rsidR="00CD3D58" w:rsidRPr="00300CC4">
        <w:rPr>
          <w:color w:val="000000" w:themeColor="text1"/>
        </w:rPr>
        <w:t> </w:t>
      </w:r>
      <w:r w:rsidR="00BB5496" w:rsidRPr="00300CC4">
        <w:rPr>
          <w:color w:val="000000" w:themeColor="text1"/>
        </w:rPr>
        <w:t>20</w:t>
      </w:r>
      <w:r w:rsidR="00CC08D8" w:rsidRPr="00300CC4">
        <w:rPr>
          <w:color w:val="000000" w:themeColor="text1"/>
        </w:rPr>
        <w:t>20</w:t>
      </w:r>
      <w:r w:rsidR="00CD3D58" w:rsidRPr="00300CC4">
        <w:rPr>
          <w:color w:val="000000" w:themeColor="text1"/>
        </w:rPr>
        <w:t xml:space="preserve"> </w:t>
      </w:r>
      <w:bookmarkEnd w:id="23"/>
      <w:r w:rsidR="00A5112B" w:rsidRPr="00300CC4">
        <w:rPr>
          <w:color w:val="000000" w:themeColor="text1"/>
        </w:rPr>
        <w:t>z </w:t>
      </w:r>
      <w:r w:rsidR="00CC08D8" w:rsidRPr="00300CC4">
        <w:rPr>
          <w:color w:val="000000" w:themeColor="text1"/>
        </w:rPr>
        <w:t>950,7</w:t>
      </w:r>
      <w:r w:rsidR="00A5112B" w:rsidRPr="00300CC4">
        <w:rPr>
          <w:color w:val="000000" w:themeColor="text1"/>
        </w:rPr>
        <w:t> </w:t>
      </w:r>
      <w:r w:rsidR="00CD3D58" w:rsidRPr="00300CC4">
        <w:rPr>
          <w:color w:val="000000" w:themeColor="text1"/>
        </w:rPr>
        <w:t>tis.</w:t>
      </w:r>
      <w:r w:rsidR="00F3413E" w:rsidRPr="00300CC4">
        <w:rPr>
          <w:color w:val="000000" w:themeColor="text1"/>
        </w:rPr>
        <w:t xml:space="preserve"> </w:t>
      </w:r>
      <w:r w:rsidR="00CD3D58" w:rsidRPr="00300CC4">
        <w:rPr>
          <w:color w:val="000000" w:themeColor="text1"/>
        </w:rPr>
        <w:t>t v 201</w:t>
      </w:r>
      <w:r w:rsidR="00CC08D8" w:rsidRPr="00300CC4">
        <w:rPr>
          <w:color w:val="000000" w:themeColor="text1"/>
        </w:rPr>
        <w:t>9</w:t>
      </w:r>
      <w:r w:rsidRPr="00300CC4">
        <w:rPr>
          <w:color w:val="000000" w:themeColor="text1"/>
        </w:rPr>
        <w:t xml:space="preserve">. </w:t>
      </w:r>
      <w:bookmarkStart w:id="24" w:name="_Hlk100937272"/>
      <w:r w:rsidRPr="00300CC4">
        <w:rPr>
          <w:b/>
          <w:color w:val="000000" w:themeColor="text1"/>
        </w:rPr>
        <w:t>Podíl recyklovaných odpadů z</w:t>
      </w:r>
      <w:r w:rsidR="00B7576A" w:rsidRPr="00300CC4">
        <w:rPr>
          <w:b/>
          <w:color w:val="000000" w:themeColor="text1"/>
        </w:rPr>
        <w:t> </w:t>
      </w:r>
      <w:r w:rsidRPr="00300CC4">
        <w:rPr>
          <w:b/>
          <w:color w:val="000000" w:themeColor="text1"/>
        </w:rPr>
        <w:t xml:space="preserve">obalů </w:t>
      </w:r>
      <w:r w:rsidRPr="00300CC4">
        <w:rPr>
          <w:color w:val="000000" w:themeColor="text1"/>
        </w:rPr>
        <w:t xml:space="preserve">z celkového množství vzniklých obalových odpadů </w:t>
      </w:r>
      <w:bookmarkEnd w:id="24"/>
      <w:r w:rsidR="00FF2C85" w:rsidRPr="00300CC4">
        <w:rPr>
          <w:color w:val="000000" w:themeColor="text1"/>
        </w:rPr>
        <w:t xml:space="preserve">byl </w:t>
      </w:r>
      <w:r w:rsidRPr="00300CC4">
        <w:rPr>
          <w:b/>
          <w:color w:val="000000" w:themeColor="text1"/>
        </w:rPr>
        <w:t>v roce 20</w:t>
      </w:r>
      <w:r w:rsidR="00CC08D8" w:rsidRPr="00300CC4">
        <w:rPr>
          <w:b/>
          <w:color w:val="000000" w:themeColor="text1"/>
        </w:rPr>
        <w:t>20</w:t>
      </w:r>
      <w:r w:rsidRPr="00300CC4">
        <w:rPr>
          <w:b/>
          <w:color w:val="000000" w:themeColor="text1"/>
        </w:rPr>
        <w:t xml:space="preserve"> </w:t>
      </w:r>
      <w:r w:rsidR="00744115" w:rsidRPr="00300CC4">
        <w:rPr>
          <w:b/>
          <w:color w:val="000000" w:themeColor="text1"/>
        </w:rPr>
        <w:t xml:space="preserve">- </w:t>
      </w:r>
      <w:r w:rsidR="00A3038A" w:rsidRPr="00300CC4">
        <w:rPr>
          <w:b/>
          <w:color w:val="000000" w:themeColor="text1"/>
        </w:rPr>
        <w:t>6</w:t>
      </w:r>
      <w:r w:rsidR="00CC08D8" w:rsidRPr="00300CC4">
        <w:rPr>
          <w:b/>
          <w:color w:val="000000" w:themeColor="text1"/>
        </w:rPr>
        <w:t>7</w:t>
      </w:r>
      <w:r w:rsidR="00A3038A" w:rsidRPr="00300CC4">
        <w:rPr>
          <w:b/>
          <w:color w:val="000000" w:themeColor="text1"/>
        </w:rPr>
        <w:t>,</w:t>
      </w:r>
      <w:r w:rsidR="00CC08D8" w:rsidRPr="00300CC4">
        <w:rPr>
          <w:b/>
          <w:color w:val="000000" w:themeColor="text1"/>
        </w:rPr>
        <w:t>9</w:t>
      </w:r>
      <w:r w:rsidR="00D57D3F" w:rsidRPr="00300CC4">
        <w:rPr>
          <w:b/>
          <w:color w:val="000000" w:themeColor="text1"/>
        </w:rPr>
        <w:t> </w:t>
      </w:r>
      <w:r w:rsidR="005D5090" w:rsidRPr="00300CC4">
        <w:rPr>
          <w:b/>
          <w:color w:val="000000" w:themeColor="text1"/>
        </w:rPr>
        <w:t>%</w:t>
      </w:r>
      <w:r w:rsidRPr="00300CC4">
        <w:rPr>
          <w:b/>
          <w:color w:val="000000" w:themeColor="text1"/>
        </w:rPr>
        <w:t xml:space="preserve"> </w:t>
      </w:r>
      <w:r w:rsidRPr="00300CC4">
        <w:rPr>
          <w:color w:val="000000" w:themeColor="text1"/>
        </w:rPr>
        <w:t>a</w:t>
      </w:r>
      <w:r w:rsidR="00160D63" w:rsidRPr="00300CC4">
        <w:rPr>
          <w:color w:val="000000" w:themeColor="text1"/>
        </w:rPr>
        <w:t> </w:t>
      </w:r>
      <w:r w:rsidRPr="00300CC4">
        <w:rPr>
          <w:b/>
          <w:color w:val="000000" w:themeColor="text1"/>
        </w:rPr>
        <w:t xml:space="preserve">cíl </w:t>
      </w:r>
      <w:r w:rsidR="002E4F4A" w:rsidRPr="00300CC4">
        <w:rPr>
          <w:b/>
          <w:color w:val="000000" w:themeColor="text1"/>
        </w:rPr>
        <w:t xml:space="preserve">recyklace </w:t>
      </w:r>
      <w:r w:rsidRPr="00300CC4">
        <w:rPr>
          <w:b/>
          <w:color w:val="000000" w:themeColor="text1"/>
        </w:rPr>
        <w:t>pro rok 20</w:t>
      </w:r>
      <w:r w:rsidR="00CC08D8" w:rsidRPr="00300CC4">
        <w:rPr>
          <w:b/>
          <w:color w:val="000000" w:themeColor="text1"/>
        </w:rPr>
        <w:t>20</w:t>
      </w:r>
      <w:r w:rsidR="001A47BE" w:rsidRPr="00300CC4">
        <w:rPr>
          <w:b/>
          <w:color w:val="000000" w:themeColor="text1"/>
        </w:rPr>
        <w:t xml:space="preserve"> </w:t>
      </w:r>
      <w:r w:rsidR="00FF2C85" w:rsidRPr="00300CC4">
        <w:rPr>
          <w:b/>
          <w:color w:val="000000" w:themeColor="text1"/>
        </w:rPr>
        <w:t xml:space="preserve">byl částečně plněn </w:t>
      </w:r>
      <w:r w:rsidR="001A47BE" w:rsidRPr="00300CC4">
        <w:rPr>
          <w:color w:val="000000" w:themeColor="text1"/>
        </w:rPr>
        <w:t>(</w:t>
      </w:r>
      <w:r w:rsidR="00680917" w:rsidRPr="00300CC4">
        <w:rPr>
          <w:color w:val="000000" w:themeColor="text1"/>
        </w:rPr>
        <w:t>70</w:t>
      </w:r>
      <w:r w:rsidR="001A47BE" w:rsidRPr="00300CC4">
        <w:rPr>
          <w:color w:val="000000" w:themeColor="text1"/>
        </w:rPr>
        <w:t xml:space="preserve"> %)</w:t>
      </w:r>
      <w:r w:rsidRPr="00300CC4">
        <w:rPr>
          <w:color w:val="000000" w:themeColor="text1"/>
        </w:rPr>
        <w:t>.  V roce 201</w:t>
      </w:r>
      <w:r w:rsidR="00CC08D8" w:rsidRPr="00300CC4">
        <w:rPr>
          <w:color w:val="000000" w:themeColor="text1"/>
        </w:rPr>
        <w:t>9</w:t>
      </w:r>
      <w:r w:rsidRPr="00300CC4">
        <w:rPr>
          <w:color w:val="000000" w:themeColor="text1"/>
        </w:rPr>
        <w:t xml:space="preserve"> byl podíl recyklovaných odpadů z</w:t>
      </w:r>
      <w:r w:rsidR="00160D63" w:rsidRPr="00300CC4">
        <w:rPr>
          <w:color w:val="000000" w:themeColor="text1"/>
        </w:rPr>
        <w:t> </w:t>
      </w:r>
      <w:r w:rsidRPr="00300CC4">
        <w:rPr>
          <w:color w:val="000000" w:themeColor="text1"/>
        </w:rPr>
        <w:t xml:space="preserve">obalů z celkového množství vzniklých obalových odpadů </w:t>
      </w:r>
      <w:r w:rsidR="00263441" w:rsidRPr="00300CC4">
        <w:rPr>
          <w:color w:val="000000" w:themeColor="text1"/>
        </w:rPr>
        <w:t>7</w:t>
      </w:r>
      <w:r w:rsidR="00CC08D8" w:rsidRPr="00300CC4">
        <w:rPr>
          <w:color w:val="000000" w:themeColor="text1"/>
        </w:rPr>
        <w:t>1</w:t>
      </w:r>
      <w:r w:rsidR="00263441" w:rsidRPr="00300CC4">
        <w:rPr>
          <w:color w:val="000000" w:themeColor="text1"/>
        </w:rPr>
        <w:t>,</w:t>
      </w:r>
      <w:r w:rsidR="00CC08D8" w:rsidRPr="00300CC4">
        <w:rPr>
          <w:color w:val="000000" w:themeColor="text1"/>
        </w:rPr>
        <w:t>2</w:t>
      </w:r>
      <w:r w:rsidRPr="00300CC4">
        <w:rPr>
          <w:color w:val="000000" w:themeColor="text1"/>
        </w:rPr>
        <w:t xml:space="preserve"> % </w:t>
      </w:r>
      <w:r w:rsidR="00596388" w:rsidRPr="00300CC4">
        <w:rPr>
          <w:color w:val="000000" w:themeColor="text1"/>
        </w:rPr>
        <w:t>a</w:t>
      </w:r>
      <w:r w:rsidRPr="00300CC4">
        <w:rPr>
          <w:color w:val="000000" w:themeColor="text1"/>
        </w:rPr>
        <w:t xml:space="preserve"> </w:t>
      </w:r>
      <w:r w:rsidRPr="00300CC4">
        <w:rPr>
          <w:b/>
          <w:color w:val="000000" w:themeColor="text1"/>
        </w:rPr>
        <w:t>cíl pro rok 201</w:t>
      </w:r>
      <w:r w:rsidR="00CC08D8" w:rsidRPr="00300CC4">
        <w:rPr>
          <w:b/>
          <w:color w:val="000000" w:themeColor="text1"/>
        </w:rPr>
        <w:t>9</w:t>
      </w:r>
      <w:r w:rsidR="00BB5496" w:rsidRPr="00300CC4">
        <w:rPr>
          <w:b/>
          <w:color w:val="000000" w:themeColor="text1"/>
        </w:rPr>
        <w:t xml:space="preserve"> </w:t>
      </w:r>
      <w:r w:rsidR="00BB5496" w:rsidRPr="00300CC4">
        <w:rPr>
          <w:color w:val="000000" w:themeColor="text1"/>
        </w:rPr>
        <w:t>(65 %)</w:t>
      </w:r>
      <w:r w:rsidRPr="00300CC4">
        <w:rPr>
          <w:b/>
          <w:color w:val="000000" w:themeColor="text1"/>
        </w:rPr>
        <w:t xml:space="preserve"> byl splněn</w:t>
      </w:r>
      <w:r w:rsidRPr="00300CC4">
        <w:rPr>
          <w:color w:val="000000" w:themeColor="text1"/>
        </w:rPr>
        <w:t xml:space="preserve">. </w:t>
      </w:r>
    </w:p>
    <w:p w:rsidR="00650476" w:rsidRPr="00300CC4" w:rsidRDefault="008C12E6" w:rsidP="00650476">
      <w:pPr>
        <w:spacing w:line="276" w:lineRule="auto"/>
        <w:rPr>
          <w:rFonts w:cstheme="minorHAnsi"/>
          <w:b/>
          <w:color w:val="000000" w:themeColor="text1"/>
          <w:szCs w:val="24"/>
        </w:rPr>
      </w:pPr>
      <w:r w:rsidRPr="00300CC4">
        <w:rPr>
          <w:bCs/>
          <w:color w:val="000000" w:themeColor="text1"/>
        </w:rPr>
        <w:t>V roce 20</w:t>
      </w:r>
      <w:r w:rsidR="00CC08D8" w:rsidRPr="00300CC4">
        <w:rPr>
          <w:bCs/>
          <w:color w:val="000000" w:themeColor="text1"/>
        </w:rPr>
        <w:t>20</w:t>
      </w:r>
      <w:r w:rsidRPr="00300CC4">
        <w:rPr>
          <w:bCs/>
          <w:color w:val="000000" w:themeColor="text1"/>
        </w:rPr>
        <w:t xml:space="preserve"> byla </w:t>
      </w:r>
      <w:r w:rsidRPr="00300CC4">
        <w:rPr>
          <w:b/>
          <w:bCs/>
          <w:color w:val="000000" w:themeColor="text1"/>
        </w:rPr>
        <w:t>recyklace papírových a lepenkových obalů</w:t>
      </w:r>
      <w:r w:rsidRPr="00300CC4">
        <w:rPr>
          <w:bCs/>
          <w:color w:val="000000" w:themeColor="text1"/>
        </w:rPr>
        <w:t xml:space="preserve"> </w:t>
      </w:r>
      <w:r w:rsidR="00A42B46" w:rsidRPr="00300CC4">
        <w:rPr>
          <w:bCs/>
          <w:color w:val="000000" w:themeColor="text1"/>
        </w:rPr>
        <w:t>8</w:t>
      </w:r>
      <w:r w:rsidR="003566B8" w:rsidRPr="00300CC4">
        <w:rPr>
          <w:bCs/>
          <w:color w:val="000000" w:themeColor="text1"/>
        </w:rPr>
        <w:t>7,5</w:t>
      </w:r>
      <w:r w:rsidRPr="00300CC4">
        <w:rPr>
          <w:bCs/>
          <w:color w:val="000000" w:themeColor="text1"/>
        </w:rPr>
        <w:t xml:space="preserve"> % a v roce 201</w:t>
      </w:r>
      <w:r w:rsidR="00CC08D8" w:rsidRPr="00300CC4">
        <w:rPr>
          <w:bCs/>
          <w:color w:val="000000" w:themeColor="text1"/>
        </w:rPr>
        <w:t>9</w:t>
      </w:r>
      <w:r w:rsidR="00A42B46" w:rsidRPr="00300CC4">
        <w:rPr>
          <w:bCs/>
          <w:color w:val="000000" w:themeColor="text1"/>
        </w:rPr>
        <w:t xml:space="preserve"> </w:t>
      </w:r>
      <w:r w:rsidR="003566B8" w:rsidRPr="00300CC4">
        <w:rPr>
          <w:bCs/>
          <w:color w:val="000000" w:themeColor="text1"/>
        </w:rPr>
        <w:t>–</w:t>
      </w:r>
      <w:r w:rsidR="00B7576A" w:rsidRPr="00300CC4">
        <w:rPr>
          <w:bCs/>
          <w:color w:val="000000" w:themeColor="text1"/>
        </w:rPr>
        <w:t xml:space="preserve"> </w:t>
      </w:r>
      <w:r w:rsidR="003566B8" w:rsidRPr="00300CC4">
        <w:rPr>
          <w:bCs/>
          <w:color w:val="000000" w:themeColor="text1"/>
        </w:rPr>
        <w:t>88,2</w:t>
      </w:r>
      <w:r w:rsidR="00A42B46" w:rsidRPr="00300CC4">
        <w:rPr>
          <w:bCs/>
          <w:color w:val="000000" w:themeColor="text1"/>
        </w:rPr>
        <w:t xml:space="preserve"> %.</w:t>
      </w:r>
      <w:r w:rsidRPr="00300CC4">
        <w:rPr>
          <w:bCs/>
          <w:color w:val="000000" w:themeColor="text1"/>
        </w:rPr>
        <w:t xml:space="preserve"> </w:t>
      </w:r>
      <w:r w:rsidR="00A42B46" w:rsidRPr="00300CC4">
        <w:rPr>
          <w:bCs/>
          <w:color w:val="000000" w:themeColor="text1"/>
        </w:rPr>
        <w:t>I</w:t>
      </w:r>
      <w:r w:rsidR="00010AAC" w:rsidRPr="00300CC4">
        <w:rPr>
          <w:bCs/>
          <w:color w:val="000000" w:themeColor="text1"/>
        </w:rPr>
        <w:t> </w:t>
      </w:r>
      <w:r w:rsidR="00A42B46" w:rsidRPr="00300CC4">
        <w:rPr>
          <w:bCs/>
          <w:color w:val="000000" w:themeColor="text1"/>
        </w:rPr>
        <w:t xml:space="preserve">přes </w:t>
      </w:r>
      <w:r w:rsidR="003566B8" w:rsidRPr="00300CC4">
        <w:rPr>
          <w:bCs/>
          <w:color w:val="000000" w:themeColor="text1"/>
        </w:rPr>
        <w:t xml:space="preserve">malý </w:t>
      </w:r>
      <w:r w:rsidR="00A42B46" w:rsidRPr="00300CC4">
        <w:rPr>
          <w:bCs/>
          <w:color w:val="000000" w:themeColor="text1"/>
        </w:rPr>
        <w:t>meziroční pokles je</w:t>
      </w:r>
      <w:r w:rsidR="00A42B46" w:rsidRPr="00300CC4">
        <w:rPr>
          <w:b/>
          <w:bCs/>
          <w:color w:val="000000" w:themeColor="text1"/>
        </w:rPr>
        <w:t xml:space="preserve"> c</w:t>
      </w:r>
      <w:r w:rsidRPr="00300CC4">
        <w:rPr>
          <w:rFonts w:cstheme="minorHAnsi"/>
          <w:b/>
          <w:color w:val="000000" w:themeColor="text1"/>
          <w:szCs w:val="24"/>
        </w:rPr>
        <w:t xml:space="preserve">íl </w:t>
      </w:r>
      <w:r w:rsidR="00BB5496" w:rsidRPr="00300CC4">
        <w:rPr>
          <w:rFonts w:cstheme="minorHAnsi"/>
          <w:color w:val="000000" w:themeColor="text1"/>
          <w:szCs w:val="24"/>
        </w:rPr>
        <w:t>(75 %)</w:t>
      </w:r>
      <w:r w:rsidR="00BB5496" w:rsidRPr="00300CC4">
        <w:rPr>
          <w:rFonts w:cstheme="minorHAnsi"/>
          <w:b/>
          <w:color w:val="000000" w:themeColor="text1"/>
          <w:szCs w:val="24"/>
        </w:rPr>
        <w:t xml:space="preserve"> </w:t>
      </w:r>
      <w:r w:rsidRPr="00300CC4">
        <w:rPr>
          <w:rFonts w:cstheme="minorHAnsi"/>
          <w:b/>
          <w:color w:val="000000" w:themeColor="text1"/>
          <w:szCs w:val="24"/>
        </w:rPr>
        <w:t>je splněn</w:t>
      </w:r>
      <w:r w:rsidR="00A42B46" w:rsidRPr="00300CC4">
        <w:rPr>
          <w:rFonts w:cstheme="minorHAnsi"/>
          <w:b/>
          <w:color w:val="000000" w:themeColor="text1"/>
          <w:szCs w:val="24"/>
        </w:rPr>
        <w:t>.</w:t>
      </w:r>
    </w:p>
    <w:p w:rsidR="00FE33A4" w:rsidRPr="00300CC4" w:rsidRDefault="008C12E6" w:rsidP="00FE33A4">
      <w:pPr>
        <w:spacing w:line="276" w:lineRule="auto"/>
        <w:rPr>
          <w:rFonts w:cstheme="minorHAnsi"/>
          <w:b/>
          <w:color w:val="000000" w:themeColor="text1"/>
          <w:szCs w:val="24"/>
        </w:rPr>
      </w:pPr>
      <w:bookmarkStart w:id="25" w:name="_Hlk101641260"/>
      <w:r w:rsidRPr="00300CC4">
        <w:rPr>
          <w:color w:val="000000" w:themeColor="text1"/>
        </w:rPr>
        <w:t>V roce 20</w:t>
      </w:r>
      <w:r w:rsidR="00CC08D8" w:rsidRPr="00300CC4">
        <w:rPr>
          <w:color w:val="000000" w:themeColor="text1"/>
        </w:rPr>
        <w:t>20</w:t>
      </w:r>
      <w:r w:rsidRPr="00300CC4">
        <w:rPr>
          <w:color w:val="000000" w:themeColor="text1"/>
        </w:rPr>
        <w:t xml:space="preserve"> </w:t>
      </w:r>
      <w:r w:rsidRPr="00300CC4">
        <w:rPr>
          <w:color w:val="000000" w:themeColor="text1"/>
          <w:szCs w:val="24"/>
        </w:rPr>
        <w:t>b</w:t>
      </w:r>
      <w:r w:rsidRPr="00300CC4">
        <w:rPr>
          <w:rFonts w:cstheme="minorHAnsi"/>
          <w:color w:val="000000" w:themeColor="text1"/>
          <w:szCs w:val="24"/>
        </w:rPr>
        <w:t xml:space="preserve">yla </w:t>
      </w:r>
      <w:r w:rsidRPr="00300CC4">
        <w:rPr>
          <w:rFonts w:cstheme="minorHAnsi"/>
          <w:b/>
          <w:color w:val="000000" w:themeColor="text1"/>
          <w:szCs w:val="24"/>
        </w:rPr>
        <w:t>recyklace plastových obalů</w:t>
      </w:r>
      <w:r w:rsidRPr="00300CC4">
        <w:rPr>
          <w:rFonts w:cstheme="minorHAnsi"/>
          <w:color w:val="000000" w:themeColor="text1"/>
          <w:szCs w:val="24"/>
        </w:rPr>
        <w:t xml:space="preserve"> </w:t>
      </w:r>
      <w:r w:rsidR="003566B8" w:rsidRPr="00300CC4">
        <w:rPr>
          <w:rFonts w:cstheme="minorHAnsi"/>
          <w:color w:val="000000" w:themeColor="text1"/>
          <w:szCs w:val="24"/>
        </w:rPr>
        <w:t xml:space="preserve">41,8 </w:t>
      </w:r>
      <w:r w:rsidRPr="00300CC4">
        <w:rPr>
          <w:rFonts w:cstheme="minorHAnsi"/>
          <w:color w:val="000000" w:themeColor="text1"/>
          <w:szCs w:val="24"/>
        </w:rPr>
        <w:t xml:space="preserve">% a v roce </w:t>
      </w:r>
      <w:proofErr w:type="gramStart"/>
      <w:r w:rsidRPr="00300CC4">
        <w:rPr>
          <w:rFonts w:cstheme="minorHAnsi"/>
          <w:color w:val="000000" w:themeColor="text1"/>
          <w:szCs w:val="24"/>
        </w:rPr>
        <w:t>201</w:t>
      </w:r>
      <w:r w:rsidR="00CC08D8" w:rsidRPr="00300CC4">
        <w:rPr>
          <w:rFonts w:cstheme="minorHAnsi"/>
          <w:color w:val="000000" w:themeColor="text1"/>
          <w:szCs w:val="24"/>
        </w:rPr>
        <w:t>9</w:t>
      </w:r>
      <w:r w:rsidRPr="00300CC4">
        <w:rPr>
          <w:rFonts w:cstheme="minorHAnsi"/>
          <w:color w:val="000000" w:themeColor="text1"/>
          <w:szCs w:val="24"/>
        </w:rPr>
        <w:t xml:space="preserve"> </w:t>
      </w:r>
      <w:r w:rsidR="00B7576A" w:rsidRPr="00300CC4">
        <w:rPr>
          <w:rFonts w:cstheme="minorHAnsi"/>
          <w:color w:val="000000" w:themeColor="text1"/>
          <w:szCs w:val="24"/>
        </w:rPr>
        <w:t xml:space="preserve">- </w:t>
      </w:r>
      <w:r w:rsidR="003566B8" w:rsidRPr="00300CC4">
        <w:rPr>
          <w:rFonts w:cstheme="minorHAnsi"/>
          <w:color w:val="000000" w:themeColor="text1"/>
          <w:szCs w:val="24"/>
        </w:rPr>
        <w:t>61</w:t>
      </w:r>
      <w:proofErr w:type="gramEnd"/>
      <w:r w:rsidR="00A42B46" w:rsidRPr="00300CC4">
        <w:rPr>
          <w:rFonts w:cstheme="minorHAnsi"/>
          <w:color w:val="000000" w:themeColor="text1"/>
          <w:szCs w:val="24"/>
        </w:rPr>
        <w:t xml:space="preserve"> %.</w:t>
      </w:r>
      <w:r w:rsidR="00034CE5" w:rsidRPr="00300CC4">
        <w:rPr>
          <w:rFonts w:cstheme="minorHAnsi"/>
          <w:color w:val="000000" w:themeColor="text1"/>
          <w:szCs w:val="24"/>
        </w:rPr>
        <w:t xml:space="preserve"> </w:t>
      </w:r>
      <w:r w:rsidR="00034CE5" w:rsidRPr="00300CC4">
        <w:rPr>
          <w:rFonts w:cstheme="minorHAnsi"/>
          <w:b/>
          <w:color w:val="000000" w:themeColor="text1"/>
          <w:szCs w:val="24"/>
        </w:rPr>
        <w:t>C</w:t>
      </w:r>
      <w:r w:rsidRPr="00300CC4">
        <w:rPr>
          <w:rFonts w:cstheme="minorHAnsi"/>
          <w:b/>
          <w:color w:val="000000" w:themeColor="text1"/>
          <w:szCs w:val="24"/>
        </w:rPr>
        <w:t xml:space="preserve">íl </w:t>
      </w:r>
      <w:r w:rsidR="00BB5496" w:rsidRPr="00300CC4">
        <w:rPr>
          <w:rFonts w:cstheme="minorHAnsi"/>
          <w:color w:val="000000" w:themeColor="text1"/>
          <w:szCs w:val="24"/>
        </w:rPr>
        <w:t>(45 %)</w:t>
      </w:r>
      <w:r w:rsidR="00FC467A" w:rsidRPr="00300CC4">
        <w:rPr>
          <w:rFonts w:cstheme="minorHAnsi"/>
          <w:color w:val="000000" w:themeColor="text1"/>
          <w:szCs w:val="24"/>
        </w:rPr>
        <w:t xml:space="preserve"> v roce 2019 byl plněn, ale </w:t>
      </w:r>
      <w:r w:rsidR="00FC467A" w:rsidRPr="00300CC4">
        <w:rPr>
          <w:rFonts w:cstheme="minorHAnsi"/>
          <w:b/>
          <w:color w:val="000000" w:themeColor="text1"/>
          <w:szCs w:val="24"/>
        </w:rPr>
        <w:t xml:space="preserve">cíl pro rok 2020 (50 %) </w:t>
      </w:r>
      <w:r w:rsidR="00FC467A" w:rsidRPr="00300CC4">
        <w:rPr>
          <w:rFonts w:cstheme="minorHAnsi"/>
          <w:color w:val="000000" w:themeColor="text1"/>
          <w:szCs w:val="24"/>
        </w:rPr>
        <w:t xml:space="preserve">byl </w:t>
      </w:r>
      <w:r w:rsidR="003A0D44" w:rsidRPr="00300CC4">
        <w:rPr>
          <w:rFonts w:cstheme="minorHAnsi"/>
          <w:color w:val="000000" w:themeColor="text1"/>
          <w:szCs w:val="24"/>
        </w:rPr>
        <w:t>jen</w:t>
      </w:r>
      <w:r w:rsidR="003A0D44" w:rsidRPr="00300CC4">
        <w:rPr>
          <w:rFonts w:cstheme="minorHAnsi"/>
          <w:b/>
          <w:color w:val="000000" w:themeColor="text1"/>
          <w:szCs w:val="24"/>
        </w:rPr>
        <w:t xml:space="preserve"> částečně </w:t>
      </w:r>
      <w:r w:rsidR="00FC467A" w:rsidRPr="00300CC4">
        <w:rPr>
          <w:rFonts w:cstheme="minorHAnsi"/>
          <w:b/>
          <w:color w:val="000000" w:themeColor="text1"/>
          <w:szCs w:val="24"/>
        </w:rPr>
        <w:t>plněn.</w:t>
      </w:r>
      <w:r w:rsidR="00FC467A" w:rsidRPr="00300CC4">
        <w:rPr>
          <w:rFonts w:cstheme="minorHAnsi"/>
          <w:color w:val="000000" w:themeColor="text1"/>
          <w:szCs w:val="24"/>
        </w:rPr>
        <w:t xml:space="preserve"> </w:t>
      </w:r>
      <w:r w:rsidR="003566B8" w:rsidRPr="00300CC4">
        <w:rPr>
          <w:rFonts w:cstheme="minorHAnsi"/>
          <w:b/>
          <w:color w:val="000000" w:themeColor="text1"/>
          <w:szCs w:val="24"/>
        </w:rPr>
        <w:t xml:space="preserve"> </w:t>
      </w:r>
    </w:p>
    <w:bookmarkEnd w:id="25"/>
    <w:p w:rsidR="00E2738C" w:rsidRPr="00300CC4" w:rsidRDefault="008C12E6" w:rsidP="009D1AF7">
      <w:pPr>
        <w:spacing w:line="276" w:lineRule="auto"/>
        <w:rPr>
          <w:rFonts w:cstheme="minorHAnsi"/>
          <w:b/>
          <w:color w:val="000000" w:themeColor="text1"/>
          <w:szCs w:val="24"/>
        </w:rPr>
      </w:pPr>
      <w:r w:rsidRPr="00300CC4">
        <w:rPr>
          <w:rFonts w:cstheme="minorHAnsi"/>
          <w:color w:val="000000" w:themeColor="text1"/>
          <w:szCs w:val="24"/>
        </w:rPr>
        <w:t>V roce 20</w:t>
      </w:r>
      <w:r w:rsidR="00CC08D8" w:rsidRPr="00300CC4">
        <w:rPr>
          <w:rFonts w:cstheme="minorHAnsi"/>
          <w:color w:val="000000" w:themeColor="text1"/>
          <w:szCs w:val="24"/>
        </w:rPr>
        <w:t>20</w:t>
      </w:r>
      <w:r w:rsidRPr="00300CC4">
        <w:rPr>
          <w:rFonts w:cstheme="minorHAnsi"/>
          <w:color w:val="000000" w:themeColor="text1"/>
          <w:szCs w:val="24"/>
        </w:rPr>
        <w:t xml:space="preserve"> </w:t>
      </w:r>
      <w:r w:rsidR="00C96DA4" w:rsidRPr="00300CC4">
        <w:rPr>
          <w:rFonts w:cstheme="minorHAnsi"/>
          <w:b/>
          <w:color w:val="000000" w:themeColor="text1"/>
          <w:szCs w:val="24"/>
        </w:rPr>
        <w:t>recyklace kovových obalů</w:t>
      </w:r>
      <w:r w:rsidR="00C96DA4" w:rsidRPr="00300CC4">
        <w:rPr>
          <w:rFonts w:cstheme="minorHAnsi"/>
          <w:color w:val="000000" w:themeColor="text1"/>
          <w:szCs w:val="24"/>
        </w:rPr>
        <w:t xml:space="preserve"> </w:t>
      </w:r>
      <w:r w:rsidR="00570765" w:rsidRPr="00300CC4">
        <w:rPr>
          <w:rFonts w:cstheme="minorHAnsi"/>
          <w:color w:val="000000" w:themeColor="text1"/>
          <w:szCs w:val="24"/>
        </w:rPr>
        <w:t xml:space="preserve">vzrostla </w:t>
      </w:r>
      <w:r w:rsidR="00752AF5" w:rsidRPr="00300CC4">
        <w:rPr>
          <w:rFonts w:cstheme="minorHAnsi"/>
          <w:color w:val="000000" w:themeColor="text1"/>
          <w:szCs w:val="24"/>
        </w:rPr>
        <w:t xml:space="preserve">na </w:t>
      </w:r>
      <w:r w:rsidR="00570765" w:rsidRPr="00300CC4">
        <w:rPr>
          <w:rFonts w:cstheme="minorHAnsi"/>
          <w:color w:val="000000" w:themeColor="text1"/>
          <w:szCs w:val="24"/>
        </w:rPr>
        <w:t>73,2</w:t>
      </w:r>
      <w:r w:rsidR="00752AF5" w:rsidRPr="00300CC4">
        <w:rPr>
          <w:rFonts w:cstheme="minorHAnsi"/>
          <w:color w:val="000000" w:themeColor="text1"/>
          <w:szCs w:val="24"/>
        </w:rPr>
        <w:t xml:space="preserve"> </w:t>
      </w:r>
      <w:r w:rsidRPr="00300CC4">
        <w:rPr>
          <w:rFonts w:cstheme="minorHAnsi"/>
          <w:color w:val="000000" w:themeColor="text1"/>
          <w:szCs w:val="24"/>
        </w:rPr>
        <w:t>%</w:t>
      </w:r>
      <w:r w:rsidR="00752AF5" w:rsidRPr="00300CC4">
        <w:rPr>
          <w:rFonts w:cstheme="minorHAnsi"/>
          <w:color w:val="000000" w:themeColor="text1"/>
          <w:szCs w:val="24"/>
        </w:rPr>
        <w:t xml:space="preserve">, </w:t>
      </w:r>
      <w:r w:rsidR="00BB5496" w:rsidRPr="00300CC4">
        <w:rPr>
          <w:rFonts w:cstheme="minorHAnsi"/>
          <w:color w:val="000000" w:themeColor="text1"/>
          <w:szCs w:val="24"/>
        </w:rPr>
        <w:t>v roce 201</w:t>
      </w:r>
      <w:r w:rsidR="00CC08D8" w:rsidRPr="00300CC4">
        <w:rPr>
          <w:rFonts w:cstheme="minorHAnsi"/>
          <w:color w:val="000000" w:themeColor="text1"/>
          <w:szCs w:val="24"/>
        </w:rPr>
        <w:t>9</w:t>
      </w:r>
      <w:r w:rsidR="00BB5496" w:rsidRPr="00300CC4">
        <w:rPr>
          <w:rFonts w:cstheme="minorHAnsi"/>
          <w:color w:val="000000" w:themeColor="text1"/>
          <w:szCs w:val="24"/>
        </w:rPr>
        <w:t xml:space="preserve"> byl</w:t>
      </w:r>
      <w:r w:rsidR="00B7325E" w:rsidRPr="00300CC4">
        <w:rPr>
          <w:rFonts w:cstheme="minorHAnsi"/>
          <w:color w:val="000000" w:themeColor="text1"/>
          <w:szCs w:val="24"/>
        </w:rPr>
        <w:t xml:space="preserve">a </w:t>
      </w:r>
      <w:r w:rsidR="00570765" w:rsidRPr="00300CC4">
        <w:rPr>
          <w:rFonts w:cstheme="minorHAnsi"/>
          <w:color w:val="000000" w:themeColor="text1"/>
          <w:szCs w:val="24"/>
        </w:rPr>
        <w:t>65</w:t>
      </w:r>
      <w:r w:rsidRPr="00300CC4">
        <w:rPr>
          <w:rFonts w:cstheme="minorHAnsi"/>
          <w:color w:val="000000" w:themeColor="text1"/>
          <w:szCs w:val="24"/>
        </w:rPr>
        <w:t xml:space="preserve"> %.</w:t>
      </w:r>
      <w:r w:rsidRPr="00300CC4">
        <w:rPr>
          <w:rFonts w:cstheme="minorHAnsi"/>
          <w:b/>
          <w:color w:val="000000" w:themeColor="text1"/>
          <w:szCs w:val="24"/>
        </w:rPr>
        <w:t xml:space="preserve"> Cíl </w:t>
      </w:r>
      <w:r w:rsidR="003301E6" w:rsidRPr="00300CC4">
        <w:rPr>
          <w:rFonts w:cstheme="minorHAnsi"/>
          <w:color w:val="000000" w:themeColor="text1"/>
          <w:szCs w:val="24"/>
        </w:rPr>
        <w:t xml:space="preserve">(55 %) </w:t>
      </w:r>
      <w:r w:rsidRPr="00300CC4">
        <w:rPr>
          <w:rFonts w:cstheme="minorHAnsi"/>
          <w:b/>
          <w:color w:val="000000" w:themeColor="text1"/>
          <w:szCs w:val="24"/>
        </w:rPr>
        <w:t>je splněn.</w:t>
      </w:r>
      <w:r w:rsidR="00163316" w:rsidRPr="00300CC4">
        <w:rPr>
          <w:rFonts w:cstheme="minorHAnsi"/>
          <w:b/>
          <w:color w:val="000000" w:themeColor="text1"/>
          <w:szCs w:val="24"/>
        </w:rPr>
        <w:t xml:space="preserve"> </w:t>
      </w:r>
    </w:p>
    <w:p w:rsidR="00D26218" w:rsidRPr="00300CC4" w:rsidRDefault="008C12E6" w:rsidP="00E2738C">
      <w:pPr>
        <w:spacing w:line="276" w:lineRule="auto"/>
        <w:rPr>
          <w:color w:val="000000" w:themeColor="text1"/>
        </w:rPr>
      </w:pPr>
      <w:r w:rsidRPr="00300CC4">
        <w:rPr>
          <w:color w:val="000000" w:themeColor="text1"/>
        </w:rPr>
        <w:t>V roce</w:t>
      </w:r>
      <w:r w:rsidRPr="00300CC4">
        <w:rPr>
          <w:b/>
          <w:color w:val="000000" w:themeColor="text1"/>
        </w:rPr>
        <w:t xml:space="preserve"> </w:t>
      </w:r>
      <w:r w:rsidRPr="00300CC4">
        <w:rPr>
          <w:color w:val="000000" w:themeColor="text1"/>
        </w:rPr>
        <w:t xml:space="preserve">2020 </w:t>
      </w:r>
      <w:r w:rsidRPr="00300CC4">
        <w:rPr>
          <w:b/>
          <w:color w:val="000000" w:themeColor="text1"/>
        </w:rPr>
        <w:t>recyklace skleněných obalů</w:t>
      </w:r>
      <w:r w:rsidRPr="00300CC4">
        <w:rPr>
          <w:color w:val="000000" w:themeColor="text1"/>
        </w:rPr>
        <w:t xml:space="preserve"> byla 83,6 %, přičemž v roce 2019 byla 76,4 %. V roce 2019 byl </w:t>
      </w:r>
      <w:r w:rsidRPr="00300CC4">
        <w:rPr>
          <w:b/>
          <w:color w:val="000000" w:themeColor="text1"/>
        </w:rPr>
        <w:t>cíl</w:t>
      </w:r>
      <w:r w:rsidRPr="00300CC4">
        <w:rPr>
          <w:color w:val="000000" w:themeColor="text1"/>
        </w:rPr>
        <w:t xml:space="preserve"> těsně </w:t>
      </w:r>
      <w:r w:rsidRPr="00300CC4">
        <w:rPr>
          <w:b/>
          <w:color w:val="000000" w:themeColor="text1"/>
        </w:rPr>
        <w:t>splněn</w:t>
      </w:r>
      <w:r w:rsidRPr="00300CC4">
        <w:rPr>
          <w:color w:val="000000" w:themeColor="text1"/>
        </w:rPr>
        <w:t xml:space="preserve"> a v roce 2020 byl cíl (75</w:t>
      </w:r>
      <w:r w:rsidR="00E2738C" w:rsidRPr="00300CC4">
        <w:rPr>
          <w:color w:val="000000" w:themeColor="text1"/>
        </w:rPr>
        <w:t xml:space="preserve"> </w:t>
      </w:r>
      <w:r w:rsidRPr="00300CC4">
        <w:rPr>
          <w:color w:val="000000" w:themeColor="text1"/>
        </w:rPr>
        <w:t xml:space="preserve">%) </w:t>
      </w:r>
      <w:r w:rsidR="00E2738C" w:rsidRPr="00300CC4">
        <w:rPr>
          <w:color w:val="000000" w:themeColor="text1"/>
        </w:rPr>
        <w:t xml:space="preserve">také </w:t>
      </w:r>
      <w:r w:rsidRPr="00300CC4">
        <w:rPr>
          <w:color w:val="000000" w:themeColor="text1"/>
        </w:rPr>
        <w:t xml:space="preserve">splněn. </w:t>
      </w:r>
    </w:p>
    <w:p w:rsidR="00AC56F7" w:rsidRPr="00300CC4" w:rsidRDefault="008C12E6" w:rsidP="00AC56F7">
      <w:pPr>
        <w:spacing w:line="276" w:lineRule="auto"/>
        <w:rPr>
          <w:rFonts w:cstheme="minorHAnsi"/>
          <w:b/>
          <w:color w:val="000000" w:themeColor="text1"/>
          <w:szCs w:val="24"/>
        </w:rPr>
      </w:pPr>
      <w:r w:rsidRPr="00300CC4">
        <w:rPr>
          <w:rFonts w:cstheme="minorHAnsi"/>
          <w:bCs/>
          <w:color w:val="000000" w:themeColor="text1"/>
          <w:szCs w:val="24"/>
        </w:rPr>
        <w:t>V roce 20</w:t>
      </w:r>
      <w:r w:rsidR="00B90F05" w:rsidRPr="00300CC4">
        <w:rPr>
          <w:rFonts w:cstheme="minorHAnsi"/>
          <w:bCs/>
          <w:color w:val="000000" w:themeColor="text1"/>
          <w:szCs w:val="24"/>
        </w:rPr>
        <w:t>20</w:t>
      </w:r>
      <w:r w:rsidRPr="00300CC4">
        <w:rPr>
          <w:rFonts w:cstheme="minorHAnsi"/>
          <w:bCs/>
          <w:color w:val="000000" w:themeColor="text1"/>
          <w:szCs w:val="24"/>
        </w:rPr>
        <w:t xml:space="preserve"> </w:t>
      </w:r>
      <w:r w:rsidRPr="00300CC4">
        <w:rPr>
          <w:rFonts w:cstheme="minorHAnsi"/>
          <w:b/>
          <w:bCs/>
          <w:color w:val="000000" w:themeColor="text1"/>
          <w:szCs w:val="24"/>
        </w:rPr>
        <w:t xml:space="preserve">recyklace </w:t>
      </w:r>
      <w:r w:rsidR="00C96DA4" w:rsidRPr="00300CC4">
        <w:rPr>
          <w:rFonts w:cstheme="minorHAnsi"/>
          <w:b/>
          <w:bCs/>
          <w:color w:val="000000" w:themeColor="text1"/>
          <w:szCs w:val="24"/>
        </w:rPr>
        <w:t>dřevěných obalů</w:t>
      </w:r>
      <w:r w:rsidR="00C96DA4" w:rsidRPr="00300CC4">
        <w:rPr>
          <w:rFonts w:cstheme="minorHAnsi"/>
          <w:bCs/>
          <w:color w:val="000000" w:themeColor="text1"/>
          <w:szCs w:val="24"/>
        </w:rPr>
        <w:t xml:space="preserve"> </w:t>
      </w:r>
      <w:r w:rsidR="00C96DA4" w:rsidRPr="00300CC4">
        <w:rPr>
          <w:rFonts w:cstheme="minorHAnsi"/>
          <w:b/>
          <w:bCs/>
          <w:color w:val="000000" w:themeColor="text1"/>
          <w:szCs w:val="24"/>
        </w:rPr>
        <w:t xml:space="preserve">poklesla </w:t>
      </w:r>
      <w:r w:rsidR="00C96DA4" w:rsidRPr="00300CC4">
        <w:rPr>
          <w:rFonts w:cstheme="minorHAnsi"/>
          <w:bCs/>
          <w:color w:val="000000" w:themeColor="text1"/>
          <w:szCs w:val="24"/>
        </w:rPr>
        <w:t>na</w:t>
      </w:r>
      <w:r w:rsidR="00C96DA4" w:rsidRPr="00300CC4">
        <w:rPr>
          <w:rFonts w:cstheme="minorHAnsi"/>
          <w:b/>
          <w:bCs/>
          <w:color w:val="000000" w:themeColor="text1"/>
          <w:szCs w:val="24"/>
        </w:rPr>
        <w:t xml:space="preserve"> </w:t>
      </w:r>
      <w:r w:rsidR="00373AF7" w:rsidRPr="00300CC4">
        <w:rPr>
          <w:rFonts w:cstheme="minorHAnsi"/>
          <w:bCs/>
          <w:color w:val="000000" w:themeColor="text1"/>
          <w:szCs w:val="24"/>
        </w:rPr>
        <w:t xml:space="preserve">34,8 </w:t>
      </w:r>
      <w:r w:rsidRPr="00300CC4">
        <w:rPr>
          <w:rFonts w:cstheme="minorHAnsi"/>
          <w:bCs/>
          <w:color w:val="000000" w:themeColor="text1"/>
          <w:szCs w:val="24"/>
        </w:rPr>
        <w:t>%</w:t>
      </w:r>
      <w:r w:rsidR="00B94CDC" w:rsidRPr="00300CC4">
        <w:rPr>
          <w:rFonts w:cstheme="minorHAnsi"/>
          <w:bCs/>
          <w:color w:val="000000" w:themeColor="text1"/>
          <w:szCs w:val="24"/>
        </w:rPr>
        <w:t>,</w:t>
      </w:r>
      <w:r w:rsidRPr="00300CC4">
        <w:rPr>
          <w:rFonts w:cstheme="minorHAnsi"/>
          <w:bCs/>
          <w:color w:val="000000" w:themeColor="text1"/>
          <w:szCs w:val="24"/>
        </w:rPr>
        <w:t xml:space="preserve"> v roce 201</w:t>
      </w:r>
      <w:r w:rsidR="00B90F05" w:rsidRPr="00300CC4">
        <w:rPr>
          <w:rFonts w:cstheme="minorHAnsi"/>
          <w:bCs/>
          <w:color w:val="000000" w:themeColor="text1"/>
          <w:szCs w:val="24"/>
        </w:rPr>
        <w:t>9</w:t>
      </w:r>
      <w:r w:rsidRPr="00300CC4">
        <w:rPr>
          <w:rFonts w:cstheme="minorHAnsi"/>
          <w:bCs/>
          <w:color w:val="000000" w:themeColor="text1"/>
          <w:szCs w:val="24"/>
        </w:rPr>
        <w:t xml:space="preserve"> </w:t>
      </w:r>
      <w:r w:rsidR="00B7325E" w:rsidRPr="00300CC4">
        <w:rPr>
          <w:rFonts w:cstheme="minorHAnsi"/>
          <w:bCs/>
          <w:color w:val="000000" w:themeColor="text1"/>
          <w:szCs w:val="24"/>
        </w:rPr>
        <w:t xml:space="preserve">byla </w:t>
      </w:r>
      <w:r w:rsidR="00373AF7" w:rsidRPr="00300CC4">
        <w:rPr>
          <w:rFonts w:cstheme="minorHAnsi"/>
          <w:bCs/>
          <w:color w:val="000000" w:themeColor="text1"/>
          <w:szCs w:val="24"/>
        </w:rPr>
        <w:t>42,3</w:t>
      </w:r>
      <w:r w:rsidRPr="00300CC4">
        <w:rPr>
          <w:rFonts w:cstheme="minorHAnsi"/>
          <w:bCs/>
          <w:color w:val="000000" w:themeColor="text1"/>
          <w:szCs w:val="24"/>
        </w:rPr>
        <w:t xml:space="preserve"> %.</w:t>
      </w:r>
      <w:r w:rsidRPr="00300CC4">
        <w:rPr>
          <w:rFonts w:cstheme="minorHAnsi"/>
          <w:color w:val="000000" w:themeColor="text1"/>
          <w:szCs w:val="24"/>
        </w:rPr>
        <w:t xml:space="preserve"> </w:t>
      </w:r>
      <w:r w:rsidRPr="00300CC4">
        <w:rPr>
          <w:rFonts w:cstheme="minorHAnsi"/>
          <w:b/>
          <w:color w:val="000000" w:themeColor="text1"/>
          <w:szCs w:val="24"/>
        </w:rPr>
        <w:t xml:space="preserve">Cíl </w:t>
      </w:r>
      <w:r w:rsidR="00C96DA4" w:rsidRPr="00300CC4">
        <w:rPr>
          <w:rFonts w:cstheme="minorHAnsi"/>
          <w:color w:val="000000" w:themeColor="text1"/>
          <w:szCs w:val="24"/>
        </w:rPr>
        <w:t>(15</w:t>
      </w:r>
      <w:r w:rsidR="00A5112B" w:rsidRPr="00300CC4">
        <w:rPr>
          <w:rFonts w:cstheme="minorHAnsi"/>
          <w:color w:val="000000" w:themeColor="text1"/>
          <w:szCs w:val="24"/>
        </w:rPr>
        <w:t> </w:t>
      </w:r>
      <w:r w:rsidR="00C96DA4" w:rsidRPr="00300CC4">
        <w:rPr>
          <w:rFonts w:cstheme="minorHAnsi"/>
          <w:color w:val="000000" w:themeColor="text1"/>
          <w:szCs w:val="24"/>
        </w:rPr>
        <w:t xml:space="preserve">%) </w:t>
      </w:r>
      <w:r w:rsidRPr="00300CC4">
        <w:rPr>
          <w:rFonts w:cstheme="minorHAnsi"/>
          <w:b/>
          <w:color w:val="000000" w:themeColor="text1"/>
          <w:szCs w:val="24"/>
        </w:rPr>
        <w:t xml:space="preserve">je splněn. </w:t>
      </w:r>
    </w:p>
    <w:p w:rsidR="00D26218" w:rsidRPr="00300CC4" w:rsidRDefault="008C12E6" w:rsidP="00B7576A">
      <w:pPr>
        <w:spacing w:after="120" w:line="276" w:lineRule="auto"/>
        <w:rPr>
          <w:b/>
          <w:color w:val="000000" w:themeColor="text1"/>
        </w:rPr>
      </w:pPr>
      <w:r w:rsidRPr="00300CC4">
        <w:rPr>
          <w:b/>
          <w:color w:val="000000" w:themeColor="text1"/>
        </w:rPr>
        <w:t xml:space="preserve">Cíle pro recyklaci a využití obalových odpadů </w:t>
      </w:r>
      <w:r w:rsidR="00AD6852" w:rsidRPr="00300CC4">
        <w:rPr>
          <w:b/>
          <w:color w:val="000000" w:themeColor="text1"/>
        </w:rPr>
        <w:t xml:space="preserve">podle materiálů </w:t>
      </w:r>
      <w:r w:rsidRPr="00300CC4">
        <w:rPr>
          <w:color w:val="000000" w:themeColor="text1"/>
        </w:rPr>
        <w:t>byly v</w:t>
      </w:r>
      <w:r w:rsidR="00475A09" w:rsidRPr="00300CC4">
        <w:rPr>
          <w:color w:val="000000" w:themeColor="text1"/>
        </w:rPr>
        <w:t xml:space="preserve"> roce </w:t>
      </w:r>
      <w:r w:rsidRPr="00300CC4">
        <w:rPr>
          <w:color w:val="000000" w:themeColor="text1"/>
        </w:rPr>
        <w:t>201</w:t>
      </w:r>
      <w:r w:rsidR="00B90F05" w:rsidRPr="00300CC4">
        <w:rPr>
          <w:color w:val="000000" w:themeColor="text1"/>
        </w:rPr>
        <w:t>9</w:t>
      </w:r>
      <w:r w:rsidRPr="00300CC4">
        <w:rPr>
          <w:color w:val="000000" w:themeColor="text1"/>
        </w:rPr>
        <w:t xml:space="preserve"> </w:t>
      </w:r>
      <w:r w:rsidR="00F96C31" w:rsidRPr="00300CC4">
        <w:rPr>
          <w:color w:val="000000" w:themeColor="text1"/>
        </w:rPr>
        <w:t xml:space="preserve">všechny </w:t>
      </w:r>
      <w:r w:rsidR="00475A09" w:rsidRPr="00300CC4">
        <w:rPr>
          <w:b/>
          <w:color w:val="000000" w:themeColor="text1"/>
        </w:rPr>
        <w:t>splněny</w:t>
      </w:r>
      <w:r w:rsidR="00475A09" w:rsidRPr="00300CC4">
        <w:rPr>
          <w:color w:val="000000" w:themeColor="text1"/>
        </w:rPr>
        <w:t>.</w:t>
      </w:r>
      <w:r w:rsidR="00475A09" w:rsidRPr="00300CC4">
        <w:rPr>
          <w:b/>
          <w:color w:val="000000" w:themeColor="text1"/>
        </w:rPr>
        <w:t xml:space="preserve"> </w:t>
      </w:r>
      <w:r w:rsidR="00AD6852" w:rsidRPr="00300CC4">
        <w:rPr>
          <w:color w:val="000000" w:themeColor="text1"/>
        </w:rPr>
        <w:t>V roce 2020 také</w:t>
      </w:r>
      <w:r w:rsidR="00AD6852" w:rsidRPr="00300CC4">
        <w:rPr>
          <w:b/>
          <w:color w:val="000000" w:themeColor="text1"/>
        </w:rPr>
        <w:t xml:space="preserve"> většina cílů podle materiálu plněna</w:t>
      </w:r>
      <w:r w:rsidR="00AD6852" w:rsidRPr="00300CC4">
        <w:rPr>
          <w:color w:val="000000" w:themeColor="text1"/>
        </w:rPr>
        <w:t>, o</w:t>
      </w:r>
      <w:r w:rsidR="00D11A49" w:rsidRPr="00300CC4">
        <w:rPr>
          <w:color w:val="000000" w:themeColor="text1"/>
        </w:rPr>
        <w:t>všem</w:t>
      </w:r>
      <w:r w:rsidR="00FC467A" w:rsidRPr="00300CC4">
        <w:rPr>
          <w:color w:val="000000" w:themeColor="text1"/>
        </w:rPr>
        <w:t xml:space="preserve"> </w:t>
      </w:r>
      <w:r w:rsidRPr="00300CC4">
        <w:rPr>
          <w:color w:val="000000" w:themeColor="text1"/>
        </w:rPr>
        <w:t xml:space="preserve">v roce 2020 </w:t>
      </w:r>
      <w:r w:rsidR="00D11A49" w:rsidRPr="00300CC4">
        <w:rPr>
          <w:color w:val="000000" w:themeColor="text1"/>
        </w:rPr>
        <w:t xml:space="preserve">byl </w:t>
      </w:r>
      <w:r w:rsidRPr="00300CC4">
        <w:rPr>
          <w:color w:val="000000" w:themeColor="text1"/>
        </w:rPr>
        <w:t>c</w:t>
      </w:r>
      <w:r w:rsidR="00475A09" w:rsidRPr="00300CC4">
        <w:rPr>
          <w:color w:val="000000" w:themeColor="text1"/>
        </w:rPr>
        <w:t>íl pro</w:t>
      </w:r>
      <w:r w:rsidR="00475A09" w:rsidRPr="00300CC4">
        <w:rPr>
          <w:b/>
          <w:color w:val="000000" w:themeColor="text1"/>
        </w:rPr>
        <w:t xml:space="preserve"> recyklaci</w:t>
      </w:r>
      <w:r w:rsidR="00FC467A" w:rsidRPr="00300CC4">
        <w:rPr>
          <w:b/>
          <w:color w:val="000000" w:themeColor="text1"/>
        </w:rPr>
        <w:t xml:space="preserve"> plastových obalů</w:t>
      </w:r>
      <w:r w:rsidR="00D11A49" w:rsidRPr="00300CC4">
        <w:rPr>
          <w:b/>
          <w:color w:val="000000" w:themeColor="text1"/>
        </w:rPr>
        <w:t xml:space="preserve"> plněn částečně</w:t>
      </w:r>
      <w:r w:rsidRPr="00300CC4">
        <w:rPr>
          <w:b/>
          <w:color w:val="000000" w:themeColor="text1"/>
        </w:rPr>
        <w:t>.</w:t>
      </w:r>
    </w:p>
    <w:p w:rsidR="00FF2C85" w:rsidRPr="00300CC4" w:rsidRDefault="008C12E6" w:rsidP="00B7576A">
      <w:pPr>
        <w:spacing w:after="120" w:line="276" w:lineRule="auto"/>
        <w:rPr>
          <w:b/>
          <w:color w:val="000000" w:themeColor="text1"/>
        </w:rPr>
      </w:pPr>
      <w:r w:rsidRPr="00300CC4">
        <w:rPr>
          <w:b/>
          <w:color w:val="000000" w:themeColor="text1"/>
        </w:rPr>
        <w:t xml:space="preserve">Pro výpočet cílů recyklace obalů za rok 2020 byla použita nová metodika definovaná v prováděcím rozhodnutí Evropské komise 2019/665 a převzatá do vyhlášky č. 30/2021 Sb. </w:t>
      </w:r>
    </w:p>
    <w:p w:rsidR="00BA4C68" w:rsidRPr="00D57D3F" w:rsidRDefault="008C12E6" w:rsidP="006C51C9">
      <w:pPr>
        <w:spacing w:after="120" w:line="276" w:lineRule="auto"/>
        <w:rPr>
          <w:rFonts w:cstheme="minorHAnsi"/>
          <w:b/>
          <w:szCs w:val="24"/>
        </w:rPr>
      </w:pPr>
      <w:r w:rsidRPr="00300CC4">
        <w:rPr>
          <w:rFonts w:cstheme="minorHAnsi"/>
          <w:color w:val="000000" w:themeColor="text1"/>
          <w:szCs w:val="24"/>
        </w:rPr>
        <w:t>V roce 20</w:t>
      </w:r>
      <w:r w:rsidR="004C371F" w:rsidRPr="00300CC4">
        <w:rPr>
          <w:rFonts w:cstheme="minorHAnsi"/>
          <w:color w:val="000000" w:themeColor="text1"/>
          <w:szCs w:val="24"/>
        </w:rPr>
        <w:t>19</w:t>
      </w:r>
      <w:r w:rsidRPr="00300CC4">
        <w:rPr>
          <w:rFonts w:cstheme="minorHAnsi"/>
          <w:color w:val="000000" w:themeColor="text1"/>
          <w:szCs w:val="24"/>
        </w:rPr>
        <w:t xml:space="preserve"> byla úroveň </w:t>
      </w:r>
      <w:r w:rsidRPr="00300CC4">
        <w:rPr>
          <w:rFonts w:cstheme="minorHAnsi"/>
          <w:b/>
          <w:color w:val="000000" w:themeColor="text1"/>
          <w:szCs w:val="24"/>
        </w:rPr>
        <w:t>využití prodejních obalů určených spotřebite</w:t>
      </w:r>
      <w:r w:rsidRPr="00300CC4">
        <w:rPr>
          <w:rFonts w:cstheme="minorHAnsi"/>
          <w:b/>
          <w:color w:val="000000" w:themeColor="text1"/>
          <w:szCs w:val="24"/>
        </w:rPr>
        <w:t>li</w:t>
      </w:r>
      <w:r w:rsidRPr="00300CC4">
        <w:rPr>
          <w:rFonts w:cstheme="minorHAnsi"/>
          <w:color w:val="000000" w:themeColor="text1"/>
          <w:szCs w:val="24"/>
        </w:rPr>
        <w:t xml:space="preserve"> </w:t>
      </w:r>
      <w:r w:rsidR="00671534" w:rsidRPr="00D57D3F">
        <w:rPr>
          <w:rFonts w:cstheme="minorHAnsi"/>
          <w:szCs w:val="24"/>
        </w:rPr>
        <w:t>63,8</w:t>
      </w:r>
      <w:r w:rsidR="00AE58F9" w:rsidRPr="00D57D3F">
        <w:rPr>
          <w:rFonts w:cstheme="minorHAnsi"/>
          <w:szCs w:val="24"/>
        </w:rPr>
        <w:t xml:space="preserve"> </w:t>
      </w:r>
      <w:r w:rsidRPr="00D57D3F">
        <w:rPr>
          <w:rFonts w:cstheme="minorHAnsi"/>
          <w:szCs w:val="24"/>
        </w:rPr>
        <w:t>% a</w:t>
      </w:r>
      <w:r w:rsidR="007C6DE5" w:rsidRPr="00D57D3F">
        <w:rPr>
          <w:rFonts w:cstheme="minorHAnsi"/>
          <w:szCs w:val="24"/>
        </w:rPr>
        <w:t> </w:t>
      </w:r>
      <w:r w:rsidRPr="00D57D3F">
        <w:rPr>
          <w:rFonts w:cstheme="minorHAnsi"/>
          <w:szCs w:val="24"/>
        </w:rPr>
        <w:t>v roce 20</w:t>
      </w:r>
      <w:r w:rsidR="004C371F" w:rsidRPr="00D57D3F">
        <w:rPr>
          <w:rFonts w:cstheme="minorHAnsi"/>
          <w:szCs w:val="24"/>
        </w:rPr>
        <w:t>20</w:t>
      </w:r>
      <w:r w:rsidR="00671534" w:rsidRPr="00D57D3F">
        <w:rPr>
          <w:rFonts w:cstheme="minorHAnsi"/>
          <w:szCs w:val="24"/>
        </w:rPr>
        <w:t xml:space="preserve"> novou metodikou</w:t>
      </w:r>
      <w:r w:rsidRPr="00D57D3F">
        <w:rPr>
          <w:rFonts w:cstheme="minorHAnsi"/>
          <w:szCs w:val="24"/>
        </w:rPr>
        <w:t xml:space="preserve"> </w:t>
      </w:r>
      <w:r w:rsidR="00671534" w:rsidRPr="00D57D3F">
        <w:rPr>
          <w:rFonts w:cstheme="minorHAnsi"/>
          <w:szCs w:val="24"/>
        </w:rPr>
        <w:t xml:space="preserve">73,3 </w:t>
      </w:r>
      <w:r w:rsidR="002317CC" w:rsidRPr="00D57D3F">
        <w:rPr>
          <w:rFonts w:cstheme="minorHAnsi"/>
          <w:szCs w:val="24"/>
        </w:rPr>
        <w:t>%</w:t>
      </w:r>
      <w:r w:rsidRPr="00D57D3F">
        <w:rPr>
          <w:rFonts w:cstheme="minorHAnsi"/>
          <w:szCs w:val="24"/>
        </w:rPr>
        <w:t xml:space="preserve">. </w:t>
      </w:r>
      <w:r w:rsidRPr="00D57D3F">
        <w:rPr>
          <w:rFonts w:cstheme="minorHAnsi"/>
          <w:b/>
          <w:szCs w:val="24"/>
        </w:rPr>
        <w:t>Cíl</w:t>
      </w:r>
      <w:r w:rsidR="00560D66" w:rsidRPr="00D57D3F">
        <w:rPr>
          <w:rFonts w:cstheme="minorHAnsi"/>
          <w:b/>
          <w:szCs w:val="24"/>
        </w:rPr>
        <w:t>e</w:t>
      </w:r>
      <w:r w:rsidRPr="00D57D3F">
        <w:rPr>
          <w:rFonts w:cstheme="minorHAnsi"/>
          <w:b/>
          <w:szCs w:val="24"/>
        </w:rPr>
        <w:t xml:space="preserve"> </w:t>
      </w:r>
      <w:r w:rsidR="00560D66" w:rsidRPr="00D57D3F">
        <w:rPr>
          <w:rFonts w:cstheme="minorHAnsi"/>
          <w:szCs w:val="24"/>
        </w:rPr>
        <w:t>(</w:t>
      </w:r>
      <w:r w:rsidR="00B20A6A" w:rsidRPr="00D57D3F">
        <w:rPr>
          <w:rFonts w:cstheme="minorHAnsi"/>
          <w:szCs w:val="24"/>
        </w:rPr>
        <w:t>53</w:t>
      </w:r>
      <w:r w:rsidR="00560D66" w:rsidRPr="00D57D3F">
        <w:rPr>
          <w:rFonts w:cstheme="minorHAnsi"/>
          <w:szCs w:val="24"/>
        </w:rPr>
        <w:t xml:space="preserve"> %</w:t>
      </w:r>
      <w:r w:rsidR="00AE58F9" w:rsidRPr="00D57D3F">
        <w:rPr>
          <w:rFonts w:cstheme="minorHAnsi"/>
          <w:szCs w:val="24"/>
        </w:rPr>
        <w:t xml:space="preserve"> (201</w:t>
      </w:r>
      <w:r w:rsidR="00B20A6A" w:rsidRPr="00D57D3F">
        <w:rPr>
          <w:rFonts w:cstheme="minorHAnsi"/>
          <w:szCs w:val="24"/>
        </w:rPr>
        <w:t>9</w:t>
      </w:r>
      <w:r w:rsidR="00AE58F9" w:rsidRPr="00D57D3F">
        <w:rPr>
          <w:rFonts w:cstheme="minorHAnsi"/>
          <w:szCs w:val="24"/>
        </w:rPr>
        <w:t>)</w:t>
      </w:r>
      <w:r w:rsidR="00560D66" w:rsidRPr="00D57D3F">
        <w:rPr>
          <w:rFonts w:cstheme="minorHAnsi"/>
          <w:szCs w:val="24"/>
        </w:rPr>
        <w:t>, 5</w:t>
      </w:r>
      <w:r w:rsidR="00B20A6A" w:rsidRPr="00D57D3F">
        <w:rPr>
          <w:rFonts w:cstheme="minorHAnsi"/>
          <w:szCs w:val="24"/>
        </w:rPr>
        <w:t>5</w:t>
      </w:r>
      <w:r w:rsidR="00560D66" w:rsidRPr="00D57D3F">
        <w:rPr>
          <w:rFonts w:cstheme="minorHAnsi"/>
          <w:szCs w:val="24"/>
        </w:rPr>
        <w:t xml:space="preserve"> %</w:t>
      </w:r>
      <w:r w:rsidR="00AE58F9" w:rsidRPr="00D57D3F">
        <w:rPr>
          <w:rFonts w:cstheme="minorHAnsi"/>
          <w:szCs w:val="24"/>
        </w:rPr>
        <w:t xml:space="preserve"> (20</w:t>
      </w:r>
      <w:r w:rsidR="00B20A6A" w:rsidRPr="00D57D3F">
        <w:rPr>
          <w:rFonts w:cstheme="minorHAnsi"/>
          <w:szCs w:val="24"/>
        </w:rPr>
        <w:t>20</w:t>
      </w:r>
      <w:r w:rsidR="00AE58F9" w:rsidRPr="00D57D3F">
        <w:rPr>
          <w:rFonts w:cstheme="minorHAnsi"/>
          <w:szCs w:val="24"/>
        </w:rPr>
        <w:t>)</w:t>
      </w:r>
      <w:r w:rsidR="00560D66" w:rsidRPr="00D57D3F">
        <w:rPr>
          <w:rFonts w:cstheme="minorHAnsi"/>
          <w:szCs w:val="24"/>
        </w:rPr>
        <w:t xml:space="preserve">) jsou </w:t>
      </w:r>
      <w:r w:rsidRPr="00D57D3F">
        <w:rPr>
          <w:rFonts w:cstheme="minorHAnsi"/>
          <w:b/>
          <w:szCs w:val="24"/>
        </w:rPr>
        <w:t>splněn</w:t>
      </w:r>
      <w:r w:rsidR="00560D66" w:rsidRPr="00D57D3F">
        <w:rPr>
          <w:rFonts w:cstheme="minorHAnsi"/>
          <w:b/>
          <w:szCs w:val="24"/>
        </w:rPr>
        <w:t>y</w:t>
      </w:r>
      <w:r w:rsidRPr="00D57D3F">
        <w:rPr>
          <w:rFonts w:cstheme="minorHAnsi"/>
          <w:b/>
          <w:szCs w:val="24"/>
        </w:rPr>
        <w:t xml:space="preserve"> s předstihem. </w:t>
      </w:r>
    </w:p>
    <w:p w:rsidR="00BA4C68" w:rsidRPr="00D57D3F" w:rsidRDefault="008C12E6" w:rsidP="00FE6869">
      <w:pPr>
        <w:spacing w:after="120" w:line="276" w:lineRule="auto"/>
        <w:rPr>
          <w:rFonts w:cstheme="minorHAnsi"/>
          <w:b/>
          <w:szCs w:val="24"/>
        </w:rPr>
      </w:pPr>
      <w:r w:rsidRPr="00D57D3F">
        <w:rPr>
          <w:rFonts w:cstheme="minorHAnsi"/>
          <w:szCs w:val="24"/>
        </w:rPr>
        <w:t>V roce 20</w:t>
      </w:r>
      <w:r w:rsidR="004C371F" w:rsidRPr="00D57D3F">
        <w:rPr>
          <w:rFonts w:cstheme="minorHAnsi"/>
          <w:szCs w:val="24"/>
        </w:rPr>
        <w:t>19</w:t>
      </w:r>
      <w:r w:rsidRPr="00D57D3F">
        <w:rPr>
          <w:rFonts w:cstheme="minorHAnsi"/>
          <w:szCs w:val="24"/>
        </w:rPr>
        <w:t xml:space="preserve"> byla úroveň </w:t>
      </w:r>
      <w:r w:rsidRPr="00D57D3F">
        <w:rPr>
          <w:rFonts w:cstheme="minorHAnsi"/>
          <w:b/>
          <w:szCs w:val="24"/>
        </w:rPr>
        <w:t>recyklace prodejních obalů určených spotřebiteli</w:t>
      </w:r>
      <w:r w:rsidRPr="00D57D3F">
        <w:rPr>
          <w:rFonts w:cstheme="minorHAnsi"/>
          <w:szCs w:val="24"/>
        </w:rPr>
        <w:t xml:space="preserve"> </w:t>
      </w:r>
      <w:r w:rsidR="00AE58F9" w:rsidRPr="00D57D3F">
        <w:rPr>
          <w:rFonts w:cstheme="minorHAnsi"/>
          <w:szCs w:val="24"/>
        </w:rPr>
        <w:t>6</w:t>
      </w:r>
      <w:r w:rsidR="00671534" w:rsidRPr="00D57D3F">
        <w:rPr>
          <w:rFonts w:cstheme="minorHAnsi"/>
          <w:szCs w:val="24"/>
        </w:rPr>
        <w:t>3,8</w:t>
      </w:r>
      <w:r w:rsidR="00AE58F9" w:rsidRPr="00D57D3F">
        <w:rPr>
          <w:rFonts w:cstheme="minorHAnsi"/>
          <w:szCs w:val="24"/>
        </w:rPr>
        <w:t xml:space="preserve"> </w:t>
      </w:r>
      <w:r w:rsidRPr="00D57D3F">
        <w:rPr>
          <w:rFonts w:cstheme="minorHAnsi"/>
          <w:szCs w:val="24"/>
        </w:rPr>
        <w:t>% a v roce 20</w:t>
      </w:r>
      <w:r w:rsidR="004C371F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</w:t>
      </w:r>
      <w:r w:rsidR="00671534" w:rsidRPr="00D57D3F">
        <w:rPr>
          <w:rFonts w:cstheme="minorHAnsi"/>
          <w:szCs w:val="24"/>
        </w:rPr>
        <w:t>novou metodikou 54,8</w:t>
      </w:r>
      <w:r w:rsidRPr="00D57D3F">
        <w:rPr>
          <w:rFonts w:cstheme="minorHAnsi"/>
          <w:szCs w:val="24"/>
        </w:rPr>
        <w:t xml:space="preserve"> %. </w:t>
      </w:r>
      <w:r w:rsidRPr="00D57D3F">
        <w:rPr>
          <w:rFonts w:cstheme="minorHAnsi"/>
          <w:b/>
          <w:szCs w:val="24"/>
        </w:rPr>
        <w:t>Cíl</w:t>
      </w:r>
      <w:r w:rsidR="00861985" w:rsidRPr="00D57D3F">
        <w:rPr>
          <w:rFonts w:cstheme="minorHAnsi"/>
          <w:b/>
          <w:szCs w:val="24"/>
        </w:rPr>
        <w:t xml:space="preserve">e </w:t>
      </w:r>
      <w:r w:rsidR="00861985" w:rsidRPr="00D57D3F">
        <w:rPr>
          <w:rFonts w:cstheme="minorHAnsi"/>
          <w:szCs w:val="24"/>
        </w:rPr>
        <w:t>(4</w:t>
      </w:r>
      <w:r w:rsidR="00FC467A" w:rsidRPr="00D57D3F">
        <w:rPr>
          <w:rFonts w:cstheme="minorHAnsi"/>
          <w:szCs w:val="24"/>
        </w:rPr>
        <w:t>8</w:t>
      </w:r>
      <w:r w:rsidR="00861985" w:rsidRPr="00D57D3F">
        <w:rPr>
          <w:rFonts w:cstheme="minorHAnsi"/>
          <w:szCs w:val="24"/>
        </w:rPr>
        <w:t xml:space="preserve"> %</w:t>
      </w:r>
      <w:r w:rsidR="00AE58F9" w:rsidRPr="00D57D3F">
        <w:rPr>
          <w:rFonts w:cstheme="minorHAnsi"/>
          <w:szCs w:val="24"/>
        </w:rPr>
        <w:t xml:space="preserve"> (201</w:t>
      </w:r>
      <w:r w:rsidR="00FC467A" w:rsidRPr="00D57D3F">
        <w:rPr>
          <w:rFonts w:cstheme="minorHAnsi"/>
          <w:szCs w:val="24"/>
        </w:rPr>
        <w:t>9</w:t>
      </w:r>
      <w:r w:rsidR="00AE58F9" w:rsidRPr="00D57D3F">
        <w:rPr>
          <w:rFonts w:cstheme="minorHAnsi"/>
          <w:szCs w:val="24"/>
        </w:rPr>
        <w:t>)</w:t>
      </w:r>
      <w:r w:rsidR="00861985" w:rsidRPr="00D57D3F">
        <w:rPr>
          <w:rFonts w:cstheme="minorHAnsi"/>
          <w:szCs w:val="24"/>
        </w:rPr>
        <w:t xml:space="preserve">, </w:t>
      </w:r>
      <w:r w:rsidR="00FC467A" w:rsidRPr="00D57D3F">
        <w:rPr>
          <w:rFonts w:cstheme="minorHAnsi"/>
          <w:szCs w:val="24"/>
        </w:rPr>
        <w:t>5</w:t>
      </w:r>
      <w:r w:rsidR="00B20A6A" w:rsidRPr="00D57D3F">
        <w:rPr>
          <w:rFonts w:cstheme="minorHAnsi"/>
          <w:szCs w:val="24"/>
        </w:rPr>
        <w:t>0</w:t>
      </w:r>
      <w:r w:rsidR="00861985" w:rsidRPr="00D57D3F">
        <w:rPr>
          <w:rFonts w:cstheme="minorHAnsi"/>
          <w:szCs w:val="24"/>
        </w:rPr>
        <w:t xml:space="preserve"> %</w:t>
      </w:r>
      <w:r w:rsidR="00AE58F9" w:rsidRPr="00D57D3F">
        <w:rPr>
          <w:rFonts w:cstheme="minorHAnsi"/>
          <w:szCs w:val="24"/>
        </w:rPr>
        <w:t xml:space="preserve"> (20</w:t>
      </w:r>
      <w:r w:rsidR="0070078D" w:rsidRPr="00D57D3F">
        <w:rPr>
          <w:rFonts w:cstheme="minorHAnsi"/>
          <w:szCs w:val="24"/>
        </w:rPr>
        <w:t>20</w:t>
      </w:r>
      <w:r w:rsidR="00861985" w:rsidRPr="00D57D3F">
        <w:rPr>
          <w:rFonts w:cstheme="minorHAnsi"/>
          <w:szCs w:val="24"/>
        </w:rPr>
        <w:t>)</w:t>
      </w:r>
      <w:r w:rsidR="00861985" w:rsidRPr="00D57D3F">
        <w:rPr>
          <w:rFonts w:cstheme="minorHAnsi"/>
          <w:b/>
          <w:szCs w:val="24"/>
        </w:rPr>
        <w:t xml:space="preserve"> </w:t>
      </w:r>
      <w:r w:rsidRPr="00D57D3F">
        <w:rPr>
          <w:rFonts w:cstheme="minorHAnsi"/>
          <w:b/>
          <w:color w:val="000000" w:themeColor="text1"/>
          <w:szCs w:val="24"/>
        </w:rPr>
        <w:t>j</w:t>
      </w:r>
      <w:r w:rsidR="00861985" w:rsidRPr="00D57D3F">
        <w:rPr>
          <w:rFonts w:cstheme="minorHAnsi"/>
          <w:b/>
          <w:color w:val="000000" w:themeColor="text1"/>
          <w:szCs w:val="24"/>
        </w:rPr>
        <w:t xml:space="preserve">sou </w:t>
      </w:r>
      <w:r w:rsidRPr="00D57D3F">
        <w:rPr>
          <w:rFonts w:cstheme="minorHAnsi"/>
          <w:b/>
          <w:color w:val="000000" w:themeColor="text1"/>
          <w:szCs w:val="24"/>
        </w:rPr>
        <w:t>splněn</w:t>
      </w:r>
      <w:r w:rsidR="00861985" w:rsidRPr="00D57D3F">
        <w:rPr>
          <w:rFonts w:cstheme="minorHAnsi"/>
          <w:b/>
          <w:color w:val="000000" w:themeColor="text1"/>
          <w:szCs w:val="24"/>
        </w:rPr>
        <w:t>y</w:t>
      </w:r>
      <w:r w:rsidRPr="00D57D3F">
        <w:rPr>
          <w:rFonts w:cstheme="minorHAnsi"/>
          <w:b/>
          <w:color w:val="000000" w:themeColor="text1"/>
          <w:szCs w:val="24"/>
        </w:rPr>
        <w:t xml:space="preserve"> s předstihem</w:t>
      </w:r>
      <w:r w:rsidRPr="00D57D3F">
        <w:rPr>
          <w:rFonts w:cstheme="minorHAnsi"/>
          <w:b/>
          <w:szCs w:val="24"/>
        </w:rPr>
        <w:t xml:space="preserve">. </w:t>
      </w:r>
    </w:p>
    <w:p w:rsidR="00D12C29" w:rsidRPr="00D57D3F" w:rsidRDefault="008C12E6" w:rsidP="00FE6869">
      <w:pPr>
        <w:spacing w:after="120" w:line="276" w:lineRule="auto"/>
      </w:pPr>
      <w:r w:rsidRPr="00D57D3F">
        <w:rPr>
          <w:b/>
        </w:rPr>
        <w:t xml:space="preserve">Energetické využití odpadů z obalů </w:t>
      </w:r>
      <w:r w:rsidR="005358D2" w:rsidRPr="00D57D3F">
        <w:t xml:space="preserve">vzrostlo </w:t>
      </w:r>
      <w:r w:rsidRPr="00D57D3F">
        <w:t>v roce 20</w:t>
      </w:r>
      <w:r w:rsidR="004C371F" w:rsidRPr="00D57D3F">
        <w:t>20</w:t>
      </w:r>
      <w:r w:rsidRPr="00D57D3F">
        <w:t xml:space="preserve"> na hodnotu </w:t>
      </w:r>
      <w:r w:rsidR="005358D2" w:rsidRPr="00D57D3F">
        <w:t>9,4</w:t>
      </w:r>
      <w:r w:rsidRPr="00D57D3F">
        <w:t xml:space="preserve"> % z celkové produkce odpadů z obalů, v roce 201</w:t>
      </w:r>
      <w:r w:rsidR="004C371F" w:rsidRPr="00D57D3F">
        <w:t>9</w:t>
      </w:r>
      <w:r w:rsidRPr="00D57D3F">
        <w:t xml:space="preserve"> bylo </w:t>
      </w:r>
      <w:r w:rsidR="004E2B70" w:rsidRPr="00D57D3F">
        <w:t>4</w:t>
      </w:r>
      <w:r w:rsidR="000F5E79" w:rsidRPr="00D57D3F">
        <w:t>,</w:t>
      </w:r>
      <w:r w:rsidR="005358D2" w:rsidRPr="00D57D3F">
        <w:t>2</w:t>
      </w:r>
      <w:r w:rsidRPr="00D57D3F">
        <w:t xml:space="preserve"> %. Meziročně 201</w:t>
      </w:r>
      <w:r w:rsidR="004C371F" w:rsidRPr="00D57D3F">
        <w:t>9</w:t>
      </w:r>
      <w:r w:rsidR="000B7AF7" w:rsidRPr="00D57D3F">
        <w:t>-</w:t>
      </w:r>
      <w:r w:rsidRPr="00D57D3F">
        <w:t>20</w:t>
      </w:r>
      <w:r w:rsidR="004C371F" w:rsidRPr="00D57D3F">
        <w:t>20</w:t>
      </w:r>
      <w:r w:rsidRPr="00D57D3F">
        <w:t xml:space="preserve"> se množství energeticky využitých odpadů z</w:t>
      </w:r>
      <w:r w:rsidR="005358D2" w:rsidRPr="00D57D3F">
        <w:t> </w:t>
      </w:r>
      <w:r w:rsidRPr="00D57D3F">
        <w:t>obalů</w:t>
      </w:r>
      <w:r w:rsidR="005358D2" w:rsidRPr="00D57D3F">
        <w:t xml:space="preserve"> zvýšilo </w:t>
      </w:r>
      <w:r w:rsidRPr="00D57D3F">
        <w:t>o </w:t>
      </w:r>
      <w:r w:rsidR="005358D2" w:rsidRPr="00D57D3F">
        <w:t>68,8</w:t>
      </w:r>
      <w:r w:rsidRPr="00D57D3F">
        <w:t xml:space="preserve"> tis. t na celkových </w:t>
      </w:r>
      <w:r w:rsidR="005358D2" w:rsidRPr="00D57D3F">
        <w:t>125,4</w:t>
      </w:r>
      <w:r w:rsidR="0082288D" w:rsidRPr="00D57D3F">
        <w:t xml:space="preserve"> tis.</w:t>
      </w:r>
      <w:r w:rsidR="00B7576A" w:rsidRPr="00D57D3F">
        <w:t xml:space="preserve"> </w:t>
      </w:r>
      <w:r w:rsidR="0082288D" w:rsidRPr="00D57D3F">
        <w:t xml:space="preserve">t. </w:t>
      </w:r>
    </w:p>
    <w:p w:rsidR="00027877" w:rsidRPr="00D57D3F" w:rsidRDefault="008C12E6" w:rsidP="003566B8">
      <w:pPr>
        <w:spacing w:after="120" w:line="276" w:lineRule="auto"/>
      </w:pPr>
      <w:r w:rsidRPr="00D57D3F">
        <w:lastRenderedPageBreak/>
        <w:t xml:space="preserve">V roce 2020 došlo k očekávanému poklesu </w:t>
      </w:r>
      <w:r w:rsidRPr="00D57D3F">
        <w:rPr>
          <w:color w:val="000000" w:themeColor="text1"/>
        </w:rPr>
        <w:t xml:space="preserve">většiny ukazatelů </w:t>
      </w:r>
      <w:r w:rsidRPr="00D57D3F">
        <w:t>materiálového využití obalů v důsledku evropského sladění metodického přístupu k</w:t>
      </w:r>
      <w:r w:rsidR="00D26218" w:rsidRPr="00D57D3F">
        <w:t> stanovení míry</w:t>
      </w:r>
      <w:r w:rsidRPr="00D57D3F">
        <w:t xml:space="preserve"> recyklace obalů (měřící bod recyklace). </w:t>
      </w:r>
      <w:r w:rsidR="003566B8" w:rsidRPr="00D57D3F">
        <w:t>Tato změna meto</w:t>
      </w:r>
      <w:r w:rsidR="003566B8" w:rsidRPr="00D57D3F">
        <w:rPr>
          <w:rFonts w:cstheme="minorHAnsi"/>
          <w:szCs w:val="24"/>
        </w:rPr>
        <w:t xml:space="preserve">dického přístupu se nejvíce projevila u plastů. </w:t>
      </w:r>
    </w:p>
    <w:p w:rsidR="0082143B" w:rsidRDefault="008C12E6" w:rsidP="0082143B">
      <w:pPr>
        <w:spacing w:after="120" w:line="276" w:lineRule="auto"/>
      </w:pPr>
      <w:r w:rsidRPr="00D57D3F">
        <w:t xml:space="preserve">Z hlediska </w:t>
      </w:r>
      <w:r w:rsidRPr="00D57D3F">
        <w:rPr>
          <w:b/>
        </w:rPr>
        <w:t>prevence vzniku obalových odpadů</w:t>
      </w:r>
      <w:r w:rsidRPr="00D57D3F">
        <w:t xml:space="preserve"> již v </w:t>
      </w:r>
      <w:r w:rsidR="008030A3" w:rsidRPr="00D57D3F">
        <w:t xml:space="preserve">roce 2017 </w:t>
      </w:r>
      <w:r w:rsidRPr="00D57D3F">
        <w:t xml:space="preserve">byla vydána novela zákona o obalech </w:t>
      </w:r>
      <w:r w:rsidR="008030A3" w:rsidRPr="00D57D3F">
        <w:t>za účelem provedení směrnice (EU) 2015/720, která se týk</w:t>
      </w:r>
      <w:r w:rsidRPr="00D57D3F">
        <w:t>ala</w:t>
      </w:r>
      <w:r w:rsidR="008030A3" w:rsidRPr="00D57D3F">
        <w:t xml:space="preserve"> snižování spotřeby lehkých plastových nákupních tašek, </w:t>
      </w:r>
      <w:r w:rsidR="0005665F" w:rsidRPr="00D57D3F">
        <w:t xml:space="preserve">zákon č. 149/2017 Sb., kterým se mění zákon č. 477/2001 Sb., o obalech ve znění pozdějších předpisů. </w:t>
      </w:r>
      <w:r w:rsidR="008030A3" w:rsidRPr="00D57D3F">
        <w:t xml:space="preserve">Byl zaveden </w:t>
      </w:r>
      <w:r w:rsidR="0005665F" w:rsidRPr="00D57D3F">
        <w:t>zákaz bezplatného poskytování plastových odnosných tašek s výjimkou velmi lehkých plastových odnosných tašek, vstou</w:t>
      </w:r>
      <w:r w:rsidR="008030A3" w:rsidRPr="00D57D3F">
        <w:t xml:space="preserve">pil </w:t>
      </w:r>
      <w:r w:rsidR="0005665F" w:rsidRPr="00D57D3F">
        <w:t>v</w:t>
      </w:r>
      <w:r w:rsidR="008B70F5" w:rsidRPr="00D57D3F">
        <w:t> </w:t>
      </w:r>
      <w:r w:rsidR="0005665F" w:rsidRPr="00D57D3F">
        <w:t xml:space="preserve">účinnost 1. </w:t>
      </w:r>
      <w:r w:rsidR="00B36FF8" w:rsidRPr="00D57D3F">
        <w:t xml:space="preserve">ledna </w:t>
      </w:r>
      <w:r w:rsidR="0005665F" w:rsidRPr="00D57D3F">
        <w:t>2018.</w:t>
      </w:r>
      <w:r w:rsidR="00E611C8" w:rsidRPr="00D57D3F">
        <w:t xml:space="preserve"> </w:t>
      </w:r>
      <w:r w:rsidR="0086788A" w:rsidRPr="00D57D3F">
        <w:t xml:space="preserve">Podle </w:t>
      </w:r>
      <w:r w:rsidR="00B177E8" w:rsidRPr="00D57D3F">
        <w:t>této</w:t>
      </w:r>
      <w:r w:rsidR="0086788A" w:rsidRPr="00D57D3F">
        <w:t xml:space="preserve"> novely zákona</w:t>
      </w:r>
      <w:r w:rsidR="00E611C8" w:rsidRPr="00D57D3F">
        <w:t xml:space="preserve"> každý prodejce stanov</w:t>
      </w:r>
      <w:r w:rsidR="005D36AF" w:rsidRPr="00D57D3F">
        <w:t>í</w:t>
      </w:r>
      <w:r w:rsidR="00E611C8" w:rsidRPr="00D57D3F">
        <w:t xml:space="preserve"> cenu plastových odnosných tašek sám, musí však po spotřebiteli požadovat minimálně náhradu pořizovacích nákladů této tašky. </w:t>
      </w:r>
      <w:r w:rsidRPr="00D57D3F">
        <w:t>Toto preventivní opatření se velmi dobře zavedlo do praxe.</w:t>
      </w:r>
      <w:r>
        <w:t xml:space="preserve"> </w:t>
      </w:r>
    </w:p>
    <w:p w:rsidR="0082143B" w:rsidRDefault="0082143B" w:rsidP="0086788A">
      <w:pPr>
        <w:spacing w:line="276" w:lineRule="auto"/>
      </w:pPr>
    </w:p>
    <w:p w:rsidR="00D429CC" w:rsidRPr="006F2AEA" w:rsidRDefault="008C12E6" w:rsidP="00D429CC">
      <w:pPr>
        <w:rPr>
          <w:b/>
        </w:rPr>
      </w:pPr>
      <w:bookmarkStart w:id="26" w:name="_Hlk100384263"/>
      <w:r w:rsidRPr="006F2AEA">
        <w:rPr>
          <w:b/>
        </w:rPr>
        <w:t xml:space="preserve">Graf </w:t>
      </w:r>
      <w:r w:rsidR="00A51A91" w:rsidRPr="006F2AEA">
        <w:rPr>
          <w:b/>
        </w:rPr>
        <w:t>4</w:t>
      </w:r>
      <w:r w:rsidR="00D22AF5" w:rsidRPr="006F2AEA">
        <w:rPr>
          <w:b/>
        </w:rPr>
        <w:t>:</w:t>
      </w:r>
    </w:p>
    <w:p w:rsidR="00C915CF" w:rsidRDefault="008C12E6" w:rsidP="006F2AEA">
      <w:pPr>
        <w:spacing w:after="120"/>
        <w:rPr>
          <w:b/>
        </w:rPr>
      </w:pPr>
      <w:bookmarkStart w:id="27" w:name="_Hlk532202914"/>
      <w:r w:rsidRPr="006F2AEA">
        <w:rPr>
          <w:b/>
        </w:rPr>
        <w:t xml:space="preserve">Využití obalových </w:t>
      </w:r>
      <w:r w:rsidRPr="006F2AEA">
        <w:rPr>
          <w:b/>
        </w:rPr>
        <w:t>odpadů v ČR [tis. t], 2009</w:t>
      </w:r>
      <w:r w:rsidR="00E751D9" w:rsidRPr="006F2AEA">
        <w:rPr>
          <w:b/>
        </w:rPr>
        <w:t>-</w:t>
      </w:r>
      <w:r w:rsidR="008B70F5" w:rsidRPr="006F2AEA">
        <w:rPr>
          <w:b/>
        </w:rPr>
        <w:t>2020</w:t>
      </w:r>
      <w:bookmarkEnd w:id="27"/>
      <w:r w:rsidR="00252C6F" w:rsidRPr="006F2AEA">
        <w:rPr>
          <w:b/>
        </w:rPr>
        <w:t xml:space="preserve"> </w:t>
      </w:r>
    </w:p>
    <w:p w:rsidR="00C915CF" w:rsidRPr="003D577C" w:rsidRDefault="008C12E6" w:rsidP="000B7AF7">
      <w:pPr>
        <w:spacing w:after="60"/>
        <w:rPr>
          <w:b/>
        </w:rPr>
      </w:pPr>
      <w:r>
        <w:rPr>
          <w:noProof/>
        </w:rPr>
        <w:drawing>
          <wp:inline distT="0" distB="0" distL="0" distR="0">
            <wp:extent cx="5943600" cy="3237230"/>
            <wp:effectExtent l="0" t="0" r="0" b="127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6965" w:rsidRDefault="008C12E6" w:rsidP="00D429CC">
      <w:pPr>
        <w:rPr>
          <w:i/>
          <w:sz w:val="18"/>
          <w:szCs w:val="18"/>
        </w:rPr>
      </w:pPr>
      <w:r w:rsidRPr="00846965">
        <w:rPr>
          <w:i/>
          <w:sz w:val="18"/>
          <w:szCs w:val="18"/>
        </w:rPr>
        <w:t xml:space="preserve">Zdroj: </w:t>
      </w:r>
      <w:r w:rsidR="00720CFA">
        <w:rPr>
          <w:i/>
          <w:sz w:val="18"/>
          <w:szCs w:val="18"/>
        </w:rPr>
        <w:t>ISOH</w:t>
      </w:r>
      <w:r w:rsidR="001A6901">
        <w:rPr>
          <w:i/>
          <w:sz w:val="18"/>
          <w:szCs w:val="18"/>
        </w:rPr>
        <w:t>,</w:t>
      </w:r>
      <w:r w:rsidR="00720CFA">
        <w:rPr>
          <w:i/>
          <w:sz w:val="18"/>
          <w:szCs w:val="18"/>
        </w:rPr>
        <w:t xml:space="preserve"> </w:t>
      </w:r>
      <w:r w:rsidRPr="00846965">
        <w:rPr>
          <w:i/>
          <w:sz w:val="18"/>
          <w:szCs w:val="18"/>
        </w:rPr>
        <w:t>MŽP</w:t>
      </w:r>
      <w:r w:rsidR="001A6901">
        <w:rPr>
          <w:i/>
          <w:sz w:val="18"/>
          <w:szCs w:val="18"/>
        </w:rPr>
        <w:t>, CENIA</w:t>
      </w:r>
    </w:p>
    <w:bookmarkEnd w:id="26"/>
    <w:p w:rsidR="0036700C" w:rsidRDefault="0036700C" w:rsidP="00532432">
      <w:pPr>
        <w:spacing w:after="360"/>
        <w:rPr>
          <w:szCs w:val="24"/>
        </w:rPr>
      </w:pPr>
    </w:p>
    <w:p w:rsidR="00F91166" w:rsidRPr="00D57D3F" w:rsidRDefault="008C12E6" w:rsidP="005A482B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>Vybrané výrobky</w:t>
      </w:r>
    </w:p>
    <w:p w:rsidR="005324B4" w:rsidRDefault="008C12E6" w:rsidP="006E1769">
      <w:pPr>
        <w:spacing w:after="360" w:line="276" w:lineRule="auto"/>
      </w:pPr>
      <w:r w:rsidRPr="00D57D3F">
        <w:t xml:space="preserve">Odpady z vybraných výrobků (elektrická a elektronická zařízení, baterie a akumulátory, </w:t>
      </w:r>
      <w:r w:rsidR="002E4F4A" w:rsidRPr="00D57D3F">
        <w:t>Vozidla s ukončenou životností (</w:t>
      </w:r>
      <w:r w:rsidRPr="00D57D3F">
        <w:t>autovraky</w:t>
      </w:r>
      <w:r w:rsidR="002E4F4A" w:rsidRPr="00D57D3F">
        <w:t>)</w:t>
      </w:r>
      <w:r w:rsidRPr="00D57D3F">
        <w:t xml:space="preserve">, pneumatiky) obsahují často takové komponenty, kdy </w:t>
      </w:r>
      <w:r w:rsidR="00993584" w:rsidRPr="00D57D3F">
        <w:t xml:space="preserve">se při </w:t>
      </w:r>
      <w:r w:rsidRPr="00D57D3F">
        <w:t>nesprávném nakládání</w:t>
      </w:r>
      <w:r w:rsidR="00993584" w:rsidRPr="00D57D3F">
        <w:t xml:space="preserve"> s nimi</w:t>
      </w:r>
      <w:r w:rsidRPr="00D57D3F">
        <w:t xml:space="preserve"> mohou </w:t>
      </w:r>
      <w:r w:rsidR="00993584" w:rsidRPr="00D57D3F">
        <w:t xml:space="preserve">uvolnit </w:t>
      </w:r>
      <w:r w:rsidRPr="00D57D3F">
        <w:t>nebezpečné látky</w:t>
      </w:r>
      <w:r w:rsidR="00993584" w:rsidRPr="00D57D3F">
        <w:t xml:space="preserve">, </w:t>
      </w:r>
      <w:r w:rsidRPr="00D57D3F">
        <w:t>dost</w:t>
      </w:r>
      <w:r w:rsidR="00993584" w:rsidRPr="00D57D3F">
        <w:t xml:space="preserve">at se </w:t>
      </w:r>
      <w:r w:rsidRPr="00D57D3F">
        <w:t xml:space="preserve">do složek životního prostředí a ohrozit životní prostředí i zdraví lidí. </w:t>
      </w:r>
      <w:r w:rsidR="00C874F3" w:rsidRPr="00D57D3F">
        <w:t xml:space="preserve">Postupně se </w:t>
      </w:r>
      <w:r w:rsidR="00AA3C86" w:rsidRPr="00D57D3F">
        <w:t xml:space="preserve">obsah </w:t>
      </w:r>
      <w:r w:rsidRPr="00D57D3F">
        <w:t>nebezpečn</w:t>
      </w:r>
      <w:r w:rsidR="00AA3C86" w:rsidRPr="00D57D3F">
        <w:t>ých</w:t>
      </w:r>
      <w:r w:rsidRPr="00D57D3F">
        <w:t xml:space="preserve"> lát</w:t>
      </w:r>
      <w:r w:rsidR="00AA3C86" w:rsidRPr="00D57D3F">
        <w:t>e</w:t>
      </w:r>
      <w:r w:rsidRPr="00D57D3F">
        <w:t>k ve výrobcích sniž</w:t>
      </w:r>
      <w:r w:rsidR="00C874F3" w:rsidRPr="00D57D3F">
        <w:t xml:space="preserve">uje a také je třeba </w:t>
      </w:r>
      <w:r w:rsidRPr="00D57D3F">
        <w:t>předcházet vzniku odpadů a</w:t>
      </w:r>
      <w:r w:rsidR="00532432" w:rsidRPr="00D57D3F">
        <w:t> </w:t>
      </w:r>
      <w:r w:rsidRPr="00D57D3F">
        <w:t xml:space="preserve">správně s nimi nakládat. </w:t>
      </w:r>
      <w:r w:rsidR="005B6A29" w:rsidRPr="00D57D3F">
        <w:lastRenderedPageBreak/>
        <w:t>T</w:t>
      </w:r>
      <w:r w:rsidRPr="00D57D3F">
        <w:t xml:space="preserve">ato oblast </w:t>
      </w:r>
      <w:r w:rsidR="00C874F3" w:rsidRPr="00D57D3F">
        <w:t xml:space="preserve">je </w:t>
      </w:r>
      <w:r w:rsidRPr="00D57D3F">
        <w:t xml:space="preserve">legislativně upravena </w:t>
      </w:r>
      <w:r w:rsidR="00C874F3" w:rsidRPr="00D57D3F">
        <w:t xml:space="preserve">a </w:t>
      </w:r>
      <w:r w:rsidR="005B6A29" w:rsidRPr="00D57D3F">
        <w:t>v letech 2019-2020 se připravovala nová právní úprava. Správné nakládání s těmito druhy odpadů a ochrana zdraví lidí a životního prostředí je tímto zajištěna.</w:t>
      </w:r>
      <w:r w:rsidR="005B6A29">
        <w:t xml:space="preserve"> </w:t>
      </w:r>
    </w:p>
    <w:p w:rsidR="00E4294B" w:rsidRPr="00096D7B" w:rsidRDefault="008C12E6" w:rsidP="00234431">
      <w:pPr>
        <w:spacing w:after="120" w:line="276" w:lineRule="auto"/>
        <w:rPr>
          <w:b/>
          <w:sz w:val="26"/>
          <w:szCs w:val="26"/>
          <w:u w:val="single"/>
        </w:rPr>
      </w:pPr>
      <w:r w:rsidRPr="00096D7B">
        <w:rPr>
          <w:b/>
          <w:sz w:val="26"/>
          <w:szCs w:val="26"/>
          <w:u w:val="single"/>
        </w:rPr>
        <w:t xml:space="preserve">Elektrozařízení a elektroodpady </w:t>
      </w:r>
    </w:p>
    <w:p w:rsidR="00BF1710" w:rsidRPr="00300CC4" w:rsidRDefault="008C12E6" w:rsidP="00277718">
      <w:pPr>
        <w:spacing w:after="120" w:line="276" w:lineRule="auto"/>
        <w:rPr>
          <w:b/>
          <w:color w:val="000000" w:themeColor="text1"/>
        </w:rPr>
      </w:pPr>
      <w:r w:rsidRPr="00D57D3F">
        <w:rPr>
          <w:b/>
        </w:rPr>
        <w:t>Množství elektrozařízení uvedených na trh mezi roky 201</w:t>
      </w:r>
      <w:r w:rsidR="00C8245B" w:rsidRPr="00D57D3F">
        <w:rPr>
          <w:b/>
        </w:rPr>
        <w:t>9</w:t>
      </w:r>
      <w:r w:rsidRPr="00D57D3F">
        <w:rPr>
          <w:b/>
        </w:rPr>
        <w:t xml:space="preserve"> a 20</w:t>
      </w:r>
      <w:r w:rsidR="00C8245B" w:rsidRPr="00D57D3F">
        <w:rPr>
          <w:b/>
        </w:rPr>
        <w:t>20</w:t>
      </w:r>
      <w:r w:rsidRPr="00D57D3F">
        <w:rPr>
          <w:b/>
        </w:rPr>
        <w:t xml:space="preserve"> </w:t>
      </w:r>
      <w:r w:rsidR="006F5C43" w:rsidRPr="00D57D3F">
        <w:rPr>
          <w:b/>
        </w:rPr>
        <w:t xml:space="preserve">vrostlo </w:t>
      </w:r>
      <w:r w:rsidRPr="00D57D3F">
        <w:rPr>
          <w:b/>
        </w:rPr>
        <w:t xml:space="preserve">o </w:t>
      </w:r>
      <w:r w:rsidR="002E4F4A" w:rsidRPr="00D57D3F">
        <w:rPr>
          <w:b/>
        </w:rPr>
        <w:t>11,4</w:t>
      </w:r>
      <w:r w:rsidRPr="00D57D3F">
        <w:rPr>
          <w:b/>
        </w:rPr>
        <w:t xml:space="preserve"> % </w:t>
      </w:r>
      <w:r w:rsidR="006F5C43" w:rsidRPr="00D57D3F">
        <w:rPr>
          <w:b/>
        </w:rPr>
        <w:t xml:space="preserve">ze </w:t>
      </w:r>
      <w:r w:rsidR="00C8245B" w:rsidRPr="00D57D3F">
        <w:rPr>
          <w:b/>
        </w:rPr>
        <w:t>236</w:t>
      </w:r>
      <w:r w:rsidR="007B5F90">
        <w:rPr>
          <w:b/>
        </w:rPr>
        <w:t> </w:t>
      </w:r>
      <w:r w:rsidR="006F5C43" w:rsidRPr="00D57D3F">
        <w:rPr>
          <w:b/>
        </w:rPr>
        <w:t>tis. t v roce 201</w:t>
      </w:r>
      <w:r w:rsidR="00C8245B" w:rsidRPr="00D57D3F">
        <w:rPr>
          <w:b/>
        </w:rPr>
        <w:t>9</w:t>
      </w:r>
      <w:r w:rsidR="006F5C43" w:rsidRPr="00D57D3F">
        <w:rPr>
          <w:b/>
        </w:rPr>
        <w:t xml:space="preserve"> na </w:t>
      </w:r>
      <w:r w:rsidR="00C8245B" w:rsidRPr="00D57D3F">
        <w:rPr>
          <w:b/>
        </w:rPr>
        <w:t>263</w:t>
      </w:r>
      <w:r w:rsidR="006F5C43" w:rsidRPr="00D57D3F">
        <w:rPr>
          <w:b/>
        </w:rPr>
        <w:t xml:space="preserve"> tis. t v roce 20</w:t>
      </w:r>
      <w:r w:rsidR="00C8245B" w:rsidRPr="00D57D3F">
        <w:rPr>
          <w:b/>
        </w:rPr>
        <w:t>20</w:t>
      </w:r>
      <w:r w:rsidRPr="00D57D3F">
        <w:t>.</w:t>
      </w:r>
      <w:r w:rsidR="00BF734A" w:rsidRPr="00D57D3F">
        <w:t xml:space="preserve"> </w:t>
      </w:r>
      <w:r w:rsidRPr="00D57D3F">
        <w:t xml:space="preserve">Zpětný odběr elektrozařízení se vztahuje na vybraná použitá </w:t>
      </w:r>
      <w:r w:rsidRPr="00D57D3F">
        <w:t>elektrozařízení pocházející z domácností, která se odevzdávají na místech zpětného odběru</w:t>
      </w:r>
      <w:r w:rsidR="00277718" w:rsidRPr="00D57D3F">
        <w:t>.</w:t>
      </w:r>
      <w:r w:rsidRPr="00D57D3F">
        <w:t xml:space="preserve"> Pro elektroodpad nepocházející z domácností, ale pocházející z elektrozařízení určených výhradně k profesionálnímu použití, výrobce elektrozařízení </w:t>
      </w:r>
      <w:r w:rsidR="00D766A2" w:rsidRPr="00D57D3F">
        <w:t xml:space="preserve">v letech 2019-2020 zajišťoval </w:t>
      </w:r>
      <w:r w:rsidRPr="00D57D3F">
        <w:t>jeho oddělený sběr.</w:t>
      </w:r>
      <w:r w:rsidR="00BB5016" w:rsidRPr="00D57D3F">
        <w:t xml:space="preserve"> </w:t>
      </w:r>
      <w:r w:rsidR="00C2469C" w:rsidRPr="00D57D3F">
        <w:t xml:space="preserve">Meziročně </w:t>
      </w:r>
      <w:r w:rsidR="00C2469C" w:rsidRPr="00D57D3F">
        <w:rPr>
          <w:b/>
        </w:rPr>
        <w:t>zpětný odběr</w:t>
      </w:r>
      <w:r w:rsidR="00C2469C" w:rsidRPr="00D57D3F">
        <w:t xml:space="preserve"> elektrozařízení </w:t>
      </w:r>
      <w:r w:rsidR="0038064E" w:rsidRPr="00D57D3F">
        <w:t>a</w:t>
      </w:r>
      <w:r w:rsidR="008B70F5" w:rsidRPr="00D57D3F">
        <w:t> </w:t>
      </w:r>
      <w:r w:rsidR="0038064E" w:rsidRPr="00D57D3F">
        <w:t xml:space="preserve">oddělený sběr </w:t>
      </w:r>
      <w:r w:rsidR="0038064E" w:rsidRPr="008C57BF">
        <w:t xml:space="preserve">elektroodpadů </w:t>
      </w:r>
      <w:r w:rsidR="0038064E" w:rsidRPr="008C57BF">
        <w:rPr>
          <w:b/>
        </w:rPr>
        <w:t xml:space="preserve">vzrostl </w:t>
      </w:r>
      <w:r w:rsidR="00C2469C" w:rsidRPr="008C57BF">
        <w:t>o</w:t>
      </w:r>
      <w:r w:rsidR="00BB5016" w:rsidRPr="008C57BF">
        <w:t xml:space="preserve"> </w:t>
      </w:r>
      <w:r w:rsidR="00C8245B" w:rsidRPr="008C57BF">
        <w:t>17</w:t>
      </w:r>
      <w:r w:rsidR="00BB5016" w:rsidRPr="008C57BF">
        <w:t xml:space="preserve"> tis. t </w:t>
      </w:r>
      <w:r w:rsidR="0038064E" w:rsidRPr="008C57BF">
        <w:t>na</w:t>
      </w:r>
      <w:r w:rsidR="00BB5016" w:rsidRPr="008C57BF">
        <w:t xml:space="preserve"> </w:t>
      </w:r>
      <w:r w:rsidR="00C8245B" w:rsidRPr="008C57BF">
        <w:t>101,3</w:t>
      </w:r>
      <w:r w:rsidR="00BB5016" w:rsidRPr="008C57BF">
        <w:t xml:space="preserve"> tis. t v roce 201</w:t>
      </w:r>
      <w:r w:rsidR="00C8245B" w:rsidRPr="008C57BF">
        <w:t>9</w:t>
      </w:r>
      <w:r w:rsidR="00BB5016" w:rsidRPr="008C57BF">
        <w:t>, v roce 20</w:t>
      </w:r>
      <w:r w:rsidR="00C8245B" w:rsidRPr="008C57BF">
        <w:t>20</w:t>
      </w:r>
      <w:r w:rsidR="00BB5016" w:rsidRPr="008C57BF">
        <w:t xml:space="preserve"> to bylo </w:t>
      </w:r>
      <w:r w:rsidR="00C8245B" w:rsidRPr="008C57BF">
        <w:t>118,3</w:t>
      </w:r>
      <w:r w:rsidR="00BB5016" w:rsidRPr="008C57BF">
        <w:t xml:space="preserve"> tis. t.</w:t>
      </w:r>
      <w:r w:rsidR="0038064E" w:rsidRPr="008C57BF">
        <w:t xml:space="preserve"> </w:t>
      </w:r>
      <w:r w:rsidR="00BB5016" w:rsidRPr="008C57BF">
        <w:t>(</w:t>
      </w:r>
      <w:r w:rsidRPr="008C57BF">
        <w:t>Graf </w:t>
      </w:r>
      <w:r w:rsidR="00D57D3F" w:rsidRPr="008C57BF">
        <w:t>5</w:t>
      </w:r>
      <w:r w:rsidRPr="008C57BF">
        <w:t>).</w:t>
      </w:r>
      <w:r w:rsidR="00DC388E" w:rsidRPr="008C57BF">
        <w:t xml:space="preserve"> </w:t>
      </w:r>
      <w:r w:rsidRPr="008C57BF">
        <w:t>Výrobci</w:t>
      </w:r>
      <w:r w:rsidRPr="00D57D3F">
        <w:t xml:space="preserve"> </w:t>
      </w:r>
      <w:r w:rsidR="00DC388E" w:rsidRPr="00D57D3F">
        <w:t xml:space="preserve">plní své zákonné </w:t>
      </w:r>
      <w:r w:rsidRPr="00D57D3F">
        <w:t>povinnosti ve většině případů v rámc</w:t>
      </w:r>
      <w:r w:rsidRPr="00D57D3F">
        <w:t xml:space="preserve">i kolektivních systémů. </w:t>
      </w:r>
      <w:r w:rsidR="00C65841" w:rsidRPr="00D57D3F">
        <w:rPr>
          <w:b/>
        </w:rPr>
        <w:t>Úroveň z</w:t>
      </w:r>
      <w:r w:rsidRPr="00D57D3F">
        <w:rPr>
          <w:b/>
        </w:rPr>
        <w:t>pětn</w:t>
      </w:r>
      <w:r w:rsidR="00C65841" w:rsidRPr="00D57D3F">
        <w:rPr>
          <w:b/>
        </w:rPr>
        <w:t>ého</w:t>
      </w:r>
      <w:r w:rsidRPr="00D57D3F">
        <w:rPr>
          <w:b/>
        </w:rPr>
        <w:t xml:space="preserve"> odběr</w:t>
      </w:r>
      <w:r w:rsidR="00C65841" w:rsidRPr="00D57D3F">
        <w:rPr>
          <w:b/>
        </w:rPr>
        <w:t>u</w:t>
      </w:r>
      <w:r w:rsidRPr="00D57D3F">
        <w:rPr>
          <w:b/>
        </w:rPr>
        <w:t xml:space="preserve"> elektrozařízení a oddělen</w:t>
      </w:r>
      <w:r w:rsidR="00C65841" w:rsidRPr="00D57D3F">
        <w:rPr>
          <w:b/>
        </w:rPr>
        <w:t>ého</w:t>
      </w:r>
      <w:r w:rsidRPr="00D57D3F">
        <w:rPr>
          <w:b/>
        </w:rPr>
        <w:t xml:space="preserve"> sběru</w:t>
      </w:r>
      <w:r w:rsidRPr="00D57D3F">
        <w:t xml:space="preserve"> </w:t>
      </w:r>
      <w:r w:rsidRPr="00D57D3F">
        <w:rPr>
          <w:b/>
        </w:rPr>
        <w:t xml:space="preserve">elektroodpadů </w:t>
      </w:r>
      <w:r w:rsidRPr="00D57D3F">
        <w:t>v meziročním srovnání 201</w:t>
      </w:r>
      <w:r w:rsidR="00C8245B" w:rsidRPr="00D57D3F">
        <w:t>9</w:t>
      </w:r>
      <w:r w:rsidR="00DC388E" w:rsidRPr="00D57D3F">
        <w:t>-</w:t>
      </w:r>
      <w:r w:rsidRPr="00D57D3F">
        <w:t>20</w:t>
      </w:r>
      <w:r w:rsidR="00C8245B" w:rsidRPr="00D57D3F">
        <w:t>20</w:t>
      </w:r>
      <w:r w:rsidRPr="00D57D3F">
        <w:t xml:space="preserve"> </w:t>
      </w:r>
      <w:r w:rsidR="00C8245B" w:rsidRPr="00D57D3F">
        <w:t>se mírně zvýšila</w:t>
      </w:r>
      <w:r w:rsidR="007D327B" w:rsidRPr="00D57D3F">
        <w:t>, v roce 201</w:t>
      </w:r>
      <w:r w:rsidR="00C8245B" w:rsidRPr="00D57D3F">
        <w:t>9</w:t>
      </w:r>
      <w:r w:rsidR="007D327B" w:rsidRPr="00D57D3F">
        <w:t xml:space="preserve"> byl</w:t>
      </w:r>
      <w:r w:rsidR="006A07EB" w:rsidRPr="00D57D3F">
        <w:t>a</w:t>
      </w:r>
      <w:r w:rsidR="007D327B" w:rsidRPr="00D57D3F">
        <w:t xml:space="preserve"> 5</w:t>
      </w:r>
      <w:r w:rsidR="00C8245B" w:rsidRPr="00D57D3F">
        <w:t>4</w:t>
      </w:r>
      <w:r w:rsidR="007D327B" w:rsidRPr="00D57D3F">
        <w:t>,2 % a</w:t>
      </w:r>
      <w:r w:rsidR="008B70F5" w:rsidRPr="00D57D3F">
        <w:t> </w:t>
      </w:r>
      <w:r w:rsidR="007D327B" w:rsidRPr="00D57D3F">
        <w:t>v roce 20</w:t>
      </w:r>
      <w:r w:rsidR="00C8245B" w:rsidRPr="00D57D3F">
        <w:t>20</w:t>
      </w:r>
      <w:r w:rsidR="007D327B" w:rsidRPr="00D57D3F">
        <w:t xml:space="preserve"> byl</w:t>
      </w:r>
      <w:r w:rsidR="006A07EB" w:rsidRPr="00D57D3F">
        <w:t>a</w:t>
      </w:r>
      <w:r w:rsidR="007D327B" w:rsidRPr="00D57D3F">
        <w:t xml:space="preserve"> 5</w:t>
      </w:r>
      <w:r w:rsidR="00C8245B" w:rsidRPr="00D57D3F">
        <w:t>7</w:t>
      </w:r>
      <w:r w:rsidR="007D327B" w:rsidRPr="00D57D3F">
        <w:t xml:space="preserve"> %. </w:t>
      </w:r>
      <w:r w:rsidR="00BB5016" w:rsidRPr="00D57D3F">
        <w:rPr>
          <w:b/>
        </w:rPr>
        <w:t>Cíl pro rok 201</w:t>
      </w:r>
      <w:r w:rsidR="00D5665C" w:rsidRPr="00D57D3F">
        <w:rPr>
          <w:b/>
        </w:rPr>
        <w:t>9</w:t>
      </w:r>
      <w:r w:rsidR="00BB5016" w:rsidRPr="00D57D3F">
        <w:rPr>
          <w:b/>
        </w:rPr>
        <w:t xml:space="preserve"> </w:t>
      </w:r>
      <w:r w:rsidR="00BB5016" w:rsidRPr="00D57D3F">
        <w:t>(</w:t>
      </w:r>
      <w:r w:rsidR="004851A1" w:rsidRPr="00D57D3F">
        <w:rPr>
          <w:rFonts w:cstheme="minorHAnsi"/>
          <w:bCs/>
          <w:color w:val="000000"/>
        </w:rPr>
        <w:t>&gt;</w:t>
      </w:r>
      <w:r w:rsidR="00725AAD" w:rsidRPr="00D57D3F">
        <w:rPr>
          <w:rFonts w:cstheme="minorHAnsi"/>
          <w:bCs/>
          <w:color w:val="000000"/>
        </w:rPr>
        <w:t xml:space="preserve"> </w:t>
      </w:r>
      <w:r w:rsidR="00D5665C" w:rsidRPr="00D57D3F">
        <w:rPr>
          <w:rFonts w:cstheme="minorHAnsi"/>
          <w:bCs/>
          <w:color w:val="000000"/>
        </w:rPr>
        <w:t>5</w:t>
      </w:r>
      <w:r w:rsidR="00BB5016" w:rsidRPr="00D57D3F">
        <w:t xml:space="preserve">5 %) </w:t>
      </w:r>
      <w:r w:rsidR="00156D67" w:rsidRPr="00300CC4">
        <w:rPr>
          <w:b/>
          <w:color w:val="000000" w:themeColor="text1"/>
        </w:rPr>
        <w:t xml:space="preserve">byl </w:t>
      </w:r>
      <w:r w:rsidR="00B7181E" w:rsidRPr="00300CC4">
        <w:rPr>
          <w:b/>
          <w:color w:val="000000" w:themeColor="text1"/>
        </w:rPr>
        <w:t>plněn částečně</w:t>
      </w:r>
      <w:r w:rsidR="00BB5016" w:rsidRPr="00300CC4">
        <w:rPr>
          <w:color w:val="000000" w:themeColor="text1"/>
        </w:rPr>
        <w:t>.</w:t>
      </w:r>
      <w:r w:rsidR="00BB5016" w:rsidRPr="00300CC4">
        <w:rPr>
          <w:b/>
          <w:color w:val="000000" w:themeColor="text1"/>
        </w:rPr>
        <w:t xml:space="preserve"> </w:t>
      </w:r>
      <w:r w:rsidRPr="00300CC4">
        <w:rPr>
          <w:b/>
          <w:color w:val="000000" w:themeColor="text1"/>
        </w:rPr>
        <w:t>Cíl pro rok 20</w:t>
      </w:r>
      <w:r w:rsidR="00D5665C" w:rsidRPr="00300CC4">
        <w:rPr>
          <w:b/>
          <w:color w:val="000000" w:themeColor="text1"/>
        </w:rPr>
        <w:t>20</w:t>
      </w:r>
      <w:r w:rsidRPr="00300CC4">
        <w:rPr>
          <w:color w:val="000000" w:themeColor="text1"/>
        </w:rPr>
        <w:t xml:space="preserve"> </w:t>
      </w:r>
      <w:r w:rsidR="007D327B" w:rsidRPr="00300CC4">
        <w:rPr>
          <w:color w:val="000000" w:themeColor="text1"/>
        </w:rPr>
        <w:t>(</w:t>
      </w:r>
      <w:r w:rsidR="00725AAD" w:rsidRPr="00300CC4">
        <w:rPr>
          <w:rFonts w:cstheme="minorHAnsi"/>
          <w:bCs/>
          <w:color w:val="000000" w:themeColor="text1"/>
        </w:rPr>
        <w:t xml:space="preserve">&gt; </w:t>
      </w:r>
      <w:r w:rsidR="00D5665C" w:rsidRPr="00300CC4">
        <w:rPr>
          <w:rFonts w:cstheme="minorHAnsi"/>
          <w:bCs/>
          <w:color w:val="000000" w:themeColor="text1"/>
        </w:rPr>
        <w:t>60</w:t>
      </w:r>
      <w:r w:rsidR="00BB5016" w:rsidRPr="00300CC4">
        <w:rPr>
          <w:color w:val="000000" w:themeColor="text1"/>
        </w:rPr>
        <w:t xml:space="preserve"> %</w:t>
      </w:r>
      <w:r w:rsidR="007D327B" w:rsidRPr="00300CC4">
        <w:rPr>
          <w:color w:val="000000" w:themeColor="text1"/>
        </w:rPr>
        <w:t xml:space="preserve">) </w:t>
      </w:r>
      <w:r w:rsidR="006A07EB" w:rsidRPr="00300CC4">
        <w:rPr>
          <w:b/>
          <w:color w:val="000000" w:themeColor="text1"/>
        </w:rPr>
        <w:t xml:space="preserve">byl </w:t>
      </w:r>
      <w:r w:rsidR="00B7181E" w:rsidRPr="00300CC4">
        <w:rPr>
          <w:b/>
          <w:color w:val="000000" w:themeColor="text1"/>
        </w:rPr>
        <w:t>plněn částečně</w:t>
      </w:r>
      <w:r w:rsidRPr="00300CC4">
        <w:rPr>
          <w:color w:val="000000" w:themeColor="text1"/>
        </w:rPr>
        <w:t>.</w:t>
      </w:r>
    </w:p>
    <w:p w:rsidR="0066120A" w:rsidRPr="00D57D3F" w:rsidRDefault="008C12E6" w:rsidP="00277718">
      <w:pPr>
        <w:spacing w:after="120" w:line="276" w:lineRule="auto"/>
        <w:rPr>
          <w:bCs/>
        </w:rPr>
      </w:pPr>
      <w:r w:rsidRPr="00D57D3F">
        <w:rPr>
          <w:bCs/>
        </w:rPr>
        <w:t xml:space="preserve">V roce </w:t>
      </w:r>
      <w:r w:rsidR="00A6505C" w:rsidRPr="00D57D3F">
        <w:rPr>
          <w:bCs/>
        </w:rPr>
        <w:t>20</w:t>
      </w:r>
      <w:r w:rsidR="009156D4" w:rsidRPr="00D57D3F">
        <w:rPr>
          <w:bCs/>
        </w:rPr>
        <w:t>19</w:t>
      </w:r>
      <w:r w:rsidR="00A6505C" w:rsidRPr="00D57D3F">
        <w:rPr>
          <w:bCs/>
        </w:rPr>
        <w:t xml:space="preserve"> bylo v ČR sebráno </w:t>
      </w:r>
      <w:r w:rsidR="009156D4" w:rsidRPr="00D57D3F">
        <w:rPr>
          <w:bCs/>
        </w:rPr>
        <w:t>9,5</w:t>
      </w:r>
      <w:r w:rsidR="00A6505C" w:rsidRPr="00D57D3F">
        <w:rPr>
          <w:bCs/>
        </w:rPr>
        <w:t xml:space="preserve"> kg/obyv. a v roce 2</w:t>
      </w:r>
      <w:r w:rsidRPr="00D57D3F">
        <w:rPr>
          <w:bCs/>
        </w:rPr>
        <w:t>0</w:t>
      </w:r>
      <w:r w:rsidR="009156D4" w:rsidRPr="00D57D3F">
        <w:rPr>
          <w:bCs/>
        </w:rPr>
        <w:t>20</w:t>
      </w:r>
      <w:r w:rsidR="007D327B" w:rsidRPr="00D57D3F">
        <w:rPr>
          <w:bCs/>
        </w:rPr>
        <w:t xml:space="preserve"> </w:t>
      </w:r>
      <w:r w:rsidRPr="00D57D3F">
        <w:rPr>
          <w:bCs/>
        </w:rPr>
        <w:t xml:space="preserve">bylo sebráno </w:t>
      </w:r>
      <w:r w:rsidR="009156D4" w:rsidRPr="00D57D3F">
        <w:rPr>
          <w:bCs/>
        </w:rPr>
        <w:t>11,1</w:t>
      </w:r>
      <w:r w:rsidRPr="00D57D3F">
        <w:rPr>
          <w:bCs/>
        </w:rPr>
        <w:t xml:space="preserve"> kg/obyv</w:t>
      </w:r>
      <w:r w:rsidR="007D327B" w:rsidRPr="00D57D3F">
        <w:rPr>
          <w:bCs/>
        </w:rPr>
        <w:t>.</w:t>
      </w:r>
      <w:r w:rsidRPr="00D57D3F">
        <w:rPr>
          <w:bCs/>
        </w:rPr>
        <w:t xml:space="preserve"> odpadních elektrických a</w:t>
      </w:r>
      <w:r w:rsidR="003912A4" w:rsidRPr="00D57D3F">
        <w:rPr>
          <w:bCs/>
        </w:rPr>
        <w:t> </w:t>
      </w:r>
      <w:r w:rsidRPr="00D57D3F">
        <w:rPr>
          <w:bCs/>
        </w:rPr>
        <w:t xml:space="preserve">elektronických zařízení, čímž byl </w:t>
      </w:r>
      <w:r w:rsidRPr="00D57D3F">
        <w:rPr>
          <w:b/>
          <w:bCs/>
        </w:rPr>
        <w:t xml:space="preserve">cíl </w:t>
      </w:r>
      <w:r w:rsidR="007D327B" w:rsidRPr="00D57D3F">
        <w:rPr>
          <w:bCs/>
        </w:rPr>
        <w:t>(</w:t>
      </w:r>
      <w:r w:rsidR="004851A1" w:rsidRPr="00D57D3F">
        <w:rPr>
          <w:rFonts w:cstheme="minorHAnsi"/>
          <w:bCs/>
          <w:color w:val="000000"/>
        </w:rPr>
        <w:t xml:space="preserve">&gt; </w:t>
      </w:r>
      <w:r w:rsidR="004851A1" w:rsidRPr="00D57D3F">
        <w:rPr>
          <w:bCs/>
        </w:rPr>
        <w:t>5,5 kg/obyv.</w:t>
      </w:r>
      <w:r w:rsidR="007D327B" w:rsidRPr="00D57D3F">
        <w:rPr>
          <w:bCs/>
        </w:rPr>
        <w:t>)</w:t>
      </w:r>
      <w:r w:rsidR="007D327B" w:rsidRPr="00D57D3F">
        <w:rPr>
          <w:b/>
          <w:bCs/>
        </w:rPr>
        <w:t xml:space="preserve"> </w:t>
      </w:r>
      <w:r w:rsidRPr="00D57D3F">
        <w:rPr>
          <w:b/>
          <w:bCs/>
        </w:rPr>
        <w:t>splněn</w:t>
      </w:r>
      <w:r w:rsidRPr="00D57D3F">
        <w:rPr>
          <w:bCs/>
        </w:rPr>
        <w:t>.</w:t>
      </w:r>
      <w:r w:rsidR="00277718" w:rsidRPr="00D57D3F">
        <w:rPr>
          <w:bCs/>
        </w:rPr>
        <w:t xml:space="preserve"> </w:t>
      </w:r>
      <w:r w:rsidR="007D327B" w:rsidRPr="00D57D3F">
        <w:rPr>
          <w:bCs/>
        </w:rPr>
        <w:t>Meziročně došlo k navýšení o </w:t>
      </w:r>
      <w:r w:rsidR="009156D4" w:rsidRPr="00D57D3F">
        <w:rPr>
          <w:bCs/>
        </w:rPr>
        <w:t>1,6</w:t>
      </w:r>
      <w:r w:rsidR="007D327B" w:rsidRPr="00D57D3F">
        <w:rPr>
          <w:bCs/>
        </w:rPr>
        <w:t> kg</w:t>
      </w:r>
      <w:r w:rsidR="00606A35" w:rsidRPr="00D57D3F">
        <w:rPr>
          <w:bCs/>
        </w:rPr>
        <w:t>/obyv.</w:t>
      </w:r>
      <w:r w:rsidR="007D327B" w:rsidRPr="00D57D3F">
        <w:rPr>
          <w:bCs/>
        </w:rPr>
        <w:t xml:space="preserve"> </w:t>
      </w:r>
      <w:r w:rsidR="00B553DD" w:rsidRPr="00D57D3F">
        <w:rPr>
          <w:bCs/>
        </w:rPr>
        <w:t xml:space="preserve">V posledních letech sledujeme pozitivní trend nárůstu zpětného odběru elektrozařízení a odděleného sběru elektroodpadů, tedy </w:t>
      </w:r>
      <w:r w:rsidR="00C36F06" w:rsidRPr="00D57D3F">
        <w:rPr>
          <w:bCs/>
        </w:rPr>
        <w:t>e</w:t>
      </w:r>
      <w:r w:rsidRPr="00D57D3F">
        <w:rPr>
          <w:bCs/>
        </w:rPr>
        <w:t>lektrozařízení</w:t>
      </w:r>
      <w:r w:rsidR="00B553DD" w:rsidRPr="00D57D3F">
        <w:rPr>
          <w:bCs/>
        </w:rPr>
        <w:t xml:space="preserve"> s ukončenou životností nekončí </w:t>
      </w:r>
      <w:r w:rsidRPr="00D57D3F">
        <w:rPr>
          <w:bCs/>
        </w:rPr>
        <w:t>v rozporu se zákonem o</w:t>
      </w:r>
      <w:r w:rsidR="00DC388E" w:rsidRPr="00D57D3F">
        <w:rPr>
          <w:bCs/>
        </w:rPr>
        <w:t> </w:t>
      </w:r>
      <w:r w:rsidRPr="00D57D3F">
        <w:rPr>
          <w:bCs/>
        </w:rPr>
        <w:t>odpadech v odpadovém režimu jako kovový odpad.</w:t>
      </w:r>
      <w:r w:rsidR="00C36F06" w:rsidRPr="00D57D3F">
        <w:rPr>
          <w:bCs/>
        </w:rPr>
        <w:t xml:space="preserve"> </w:t>
      </w:r>
      <w:r w:rsidR="00B553DD" w:rsidRPr="00D57D3F">
        <w:rPr>
          <w:bCs/>
        </w:rPr>
        <w:t xml:space="preserve">Zde se také pozitivně projevuje </w:t>
      </w:r>
      <w:r w:rsidR="00C36F06" w:rsidRPr="00D57D3F">
        <w:rPr>
          <w:bCs/>
        </w:rPr>
        <w:t xml:space="preserve">dřívější </w:t>
      </w:r>
      <w:r w:rsidRPr="00D57D3F">
        <w:rPr>
          <w:bCs/>
        </w:rPr>
        <w:t xml:space="preserve">legislativní </w:t>
      </w:r>
      <w:r w:rsidR="009156D4" w:rsidRPr="00D57D3F">
        <w:rPr>
          <w:bCs/>
        </w:rPr>
        <w:t>úprava</w:t>
      </w:r>
      <w:r w:rsidRPr="00D57D3F">
        <w:rPr>
          <w:bCs/>
        </w:rPr>
        <w:t xml:space="preserve"> výkupu kovových odpadů</w:t>
      </w:r>
      <w:r w:rsidR="00366537" w:rsidRPr="00D57D3F">
        <w:rPr>
          <w:bCs/>
        </w:rPr>
        <w:t>, podle které je odměna za výkup kovového odpadu vyplácena výlučně bezhotovostně.</w:t>
      </w:r>
      <w:r w:rsidRPr="00D57D3F">
        <w:rPr>
          <w:bCs/>
        </w:rPr>
        <w:t xml:space="preserve"> </w:t>
      </w:r>
      <w:r w:rsidR="00D766A2" w:rsidRPr="00D57D3F">
        <w:rPr>
          <w:bCs/>
        </w:rPr>
        <w:t xml:space="preserve">Místa zpětného odběru pro </w:t>
      </w:r>
      <w:r w:rsidRPr="00D57D3F">
        <w:rPr>
          <w:bCs/>
        </w:rPr>
        <w:t xml:space="preserve">odpadní elektrozařízení </w:t>
      </w:r>
      <w:r w:rsidR="0028098D" w:rsidRPr="00D57D3F">
        <w:rPr>
          <w:bCs/>
        </w:rPr>
        <w:t xml:space="preserve">se stále </w:t>
      </w:r>
      <w:r w:rsidR="00C36F06" w:rsidRPr="00D57D3F">
        <w:rPr>
          <w:bCs/>
        </w:rPr>
        <w:t>rozšiřuj</w:t>
      </w:r>
      <w:r w:rsidR="00D766A2" w:rsidRPr="00D57D3F">
        <w:rPr>
          <w:bCs/>
        </w:rPr>
        <w:t>í</w:t>
      </w:r>
      <w:r w:rsidR="0028098D" w:rsidRPr="00D57D3F">
        <w:rPr>
          <w:bCs/>
        </w:rPr>
        <w:t>.</w:t>
      </w:r>
      <w:r w:rsidRPr="00D57D3F">
        <w:rPr>
          <w:bCs/>
        </w:rPr>
        <w:t xml:space="preserve"> </w:t>
      </w:r>
    </w:p>
    <w:p w:rsidR="00B64A8A" w:rsidRPr="00D57D3F" w:rsidRDefault="008C12E6" w:rsidP="00D5665C">
      <w:pPr>
        <w:spacing w:after="120" w:line="276" w:lineRule="auto"/>
        <w:rPr>
          <w:bCs/>
        </w:rPr>
      </w:pPr>
      <w:r w:rsidRPr="00D57D3F">
        <w:rPr>
          <w:bCs/>
        </w:rPr>
        <w:t xml:space="preserve">V důsledku </w:t>
      </w:r>
      <w:r w:rsidR="001E2074" w:rsidRPr="00D57D3F">
        <w:rPr>
          <w:bCs/>
        </w:rPr>
        <w:t xml:space="preserve">právní úpravy došlo </w:t>
      </w:r>
      <w:r w:rsidRPr="00D57D3F">
        <w:rPr>
          <w:bCs/>
        </w:rPr>
        <w:t xml:space="preserve">ke </w:t>
      </w:r>
      <w:r w:rsidR="00D5665C" w:rsidRPr="00D57D3F">
        <w:rPr>
          <w:bCs/>
        </w:rPr>
        <w:t xml:space="preserve">snížení </w:t>
      </w:r>
      <w:r w:rsidRPr="00D57D3F">
        <w:rPr>
          <w:bCs/>
        </w:rPr>
        <w:t xml:space="preserve">počtu </w:t>
      </w:r>
      <w:proofErr w:type="spellStart"/>
      <w:r w:rsidRPr="00D57D3F">
        <w:rPr>
          <w:bCs/>
        </w:rPr>
        <w:t>elektroskupin</w:t>
      </w:r>
      <w:proofErr w:type="spellEnd"/>
      <w:r w:rsidRPr="00D57D3F">
        <w:rPr>
          <w:bCs/>
        </w:rPr>
        <w:t xml:space="preserve"> a zároveň došlo k přeskupení a</w:t>
      </w:r>
      <w:r w:rsidR="0098205B" w:rsidRPr="00D57D3F">
        <w:rPr>
          <w:bCs/>
        </w:rPr>
        <w:t> a</w:t>
      </w:r>
      <w:r w:rsidRPr="00D57D3F">
        <w:rPr>
          <w:bCs/>
        </w:rPr>
        <w:t xml:space="preserve">kumulaci </w:t>
      </w:r>
      <w:proofErr w:type="spellStart"/>
      <w:r w:rsidRPr="00D57D3F">
        <w:rPr>
          <w:bCs/>
        </w:rPr>
        <w:t>elektrovýrobků</w:t>
      </w:r>
      <w:proofErr w:type="spellEnd"/>
      <w:r w:rsidRPr="00D57D3F">
        <w:rPr>
          <w:bCs/>
        </w:rPr>
        <w:t xml:space="preserve"> s rozdílnou životností, </w:t>
      </w:r>
      <w:r w:rsidR="001E2074" w:rsidRPr="00D57D3F">
        <w:rPr>
          <w:bCs/>
        </w:rPr>
        <w:t xml:space="preserve">což zapříčinilo </w:t>
      </w:r>
      <w:r w:rsidRPr="00D57D3F">
        <w:rPr>
          <w:bCs/>
        </w:rPr>
        <w:t xml:space="preserve">nárůst dosažených procent míry využití a recyklace </w:t>
      </w:r>
      <w:r w:rsidR="001E2074" w:rsidRPr="00D57D3F">
        <w:rPr>
          <w:bCs/>
        </w:rPr>
        <w:t xml:space="preserve">u skupin výrobků </w:t>
      </w:r>
      <w:r w:rsidRPr="00D57D3F">
        <w:rPr>
          <w:bCs/>
        </w:rPr>
        <w:t xml:space="preserve">již v roce 2019. Významné navýšení bylo zaznamenáno u všech </w:t>
      </w:r>
      <w:proofErr w:type="spellStart"/>
      <w:r w:rsidRPr="00D57D3F">
        <w:rPr>
          <w:bCs/>
        </w:rPr>
        <w:t>elektroskupin</w:t>
      </w:r>
      <w:proofErr w:type="spellEnd"/>
      <w:r w:rsidRPr="00D57D3F">
        <w:rPr>
          <w:bCs/>
        </w:rPr>
        <w:t xml:space="preserve"> i v roce 2020.</w:t>
      </w:r>
    </w:p>
    <w:p w:rsidR="00100312" w:rsidRPr="00D57D3F" w:rsidRDefault="008C12E6" w:rsidP="00B64A8A">
      <w:pPr>
        <w:spacing w:line="276" w:lineRule="auto"/>
        <w:rPr>
          <w:bCs/>
        </w:rPr>
      </w:pPr>
      <w:bookmarkStart w:id="28" w:name="_Hlk56682138"/>
      <w:proofErr w:type="spellStart"/>
      <w:r w:rsidRPr="00D57D3F">
        <w:rPr>
          <w:b/>
          <w:bCs/>
        </w:rPr>
        <w:t>Elektroskupina</w:t>
      </w:r>
      <w:proofErr w:type="spellEnd"/>
      <w:r w:rsidRPr="00D57D3F">
        <w:rPr>
          <w:b/>
          <w:bCs/>
        </w:rPr>
        <w:t xml:space="preserve"> č. 1</w:t>
      </w:r>
      <w:r w:rsidRPr="00D57D3F">
        <w:rPr>
          <w:bCs/>
        </w:rPr>
        <w:t xml:space="preserve"> „Zařízení pro tepelnou výměnu“ </w:t>
      </w:r>
      <w:r w:rsidR="00606A35" w:rsidRPr="00D57D3F">
        <w:rPr>
          <w:bCs/>
        </w:rPr>
        <w:t xml:space="preserve">- </w:t>
      </w:r>
      <w:r w:rsidRPr="00D57D3F">
        <w:rPr>
          <w:bCs/>
        </w:rPr>
        <w:t>využití dosáhl</w:t>
      </w:r>
      <w:r w:rsidR="00606A35" w:rsidRPr="00D57D3F">
        <w:rPr>
          <w:bCs/>
        </w:rPr>
        <w:t>o</w:t>
      </w:r>
      <w:r w:rsidRPr="00D57D3F">
        <w:rPr>
          <w:bCs/>
        </w:rPr>
        <w:t xml:space="preserve"> 92,1 % a </w:t>
      </w:r>
      <w:r w:rsidR="00606A35" w:rsidRPr="00D57D3F">
        <w:rPr>
          <w:bCs/>
        </w:rPr>
        <w:t xml:space="preserve">byl </w:t>
      </w:r>
      <w:r w:rsidRPr="00D57D3F">
        <w:rPr>
          <w:b/>
          <w:bCs/>
        </w:rPr>
        <w:t>překroč</w:t>
      </w:r>
      <w:r w:rsidR="00606A35" w:rsidRPr="00D57D3F">
        <w:rPr>
          <w:b/>
          <w:bCs/>
        </w:rPr>
        <w:t>en</w:t>
      </w:r>
      <w:r w:rsidRPr="00D57D3F">
        <w:rPr>
          <w:b/>
          <w:bCs/>
        </w:rPr>
        <w:t xml:space="preserve"> </w:t>
      </w:r>
      <w:r w:rsidRPr="00D57D3F">
        <w:rPr>
          <w:bCs/>
        </w:rPr>
        <w:t>požadovan</w:t>
      </w:r>
      <w:r w:rsidR="001E2074" w:rsidRPr="00D57D3F">
        <w:rPr>
          <w:bCs/>
        </w:rPr>
        <w:t xml:space="preserve">ý </w:t>
      </w:r>
      <w:r w:rsidR="001E2074" w:rsidRPr="00D57D3F">
        <w:rPr>
          <w:b/>
          <w:bCs/>
        </w:rPr>
        <w:t>cíl</w:t>
      </w:r>
      <w:r w:rsidRPr="00D57D3F">
        <w:rPr>
          <w:b/>
          <w:bCs/>
        </w:rPr>
        <w:t xml:space="preserve"> </w:t>
      </w:r>
      <w:r w:rsidR="007F1DEF" w:rsidRPr="00D57D3F">
        <w:rPr>
          <w:b/>
          <w:bCs/>
        </w:rPr>
        <w:t xml:space="preserve">využití </w:t>
      </w:r>
      <w:r w:rsidRPr="00D57D3F">
        <w:rPr>
          <w:b/>
          <w:bCs/>
        </w:rPr>
        <w:t>(85 %)</w:t>
      </w:r>
      <w:r w:rsidRPr="00D57D3F">
        <w:rPr>
          <w:bCs/>
        </w:rPr>
        <w:t xml:space="preserve"> o 7,1 %. Míra recyklace u této </w:t>
      </w:r>
      <w:proofErr w:type="spellStart"/>
      <w:r w:rsidRPr="00D57D3F">
        <w:rPr>
          <w:bCs/>
        </w:rPr>
        <w:t>elektroskupiny</w:t>
      </w:r>
      <w:proofErr w:type="spellEnd"/>
      <w:r w:rsidRPr="00D57D3F">
        <w:rPr>
          <w:bCs/>
        </w:rPr>
        <w:t xml:space="preserve"> s výsledkem 92 % </w:t>
      </w:r>
      <w:r w:rsidRPr="00D57D3F">
        <w:rPr>
          <w:b/>
          <w:bCs/>
        </w:rPr>
        <w:t xml:space="preserve">přesáhla </w:t>
      </w:r>
      <w:r w:rsidRPr="00D57D3F">
        <w:rPr>
          <w:bCs/>
        </w:rPr>
        <w:t>požadovan</w:t>
      </w:r>
      <w:r w:rsidR="001E2074" w:rsidRPr="00D57D3F">
        <w:rPr>
          <w:bCs/>
        </w:rPr>
        <w:t>ý</w:t>
      </w:r>
      <w:r w:rsidR="001E2074" w:rsidRPr="00D57D3F">
        <w:rPr>
          <w:b/>
          <w:bCs/>
        </w:rPr>
        <w:t xml:space="preserve"> cíl</w:t>
      </w:r>
      <w:r w:rsidRPr="00D57D3F">
        <w:rPr>
          <w:b/>
          <w:bCs/>
        </w:rPr>
        <w:t xml:space="preserve"> </w:t>
      </w:r>
      <w:r w:rsidR="007F1DEF" w:rsidRPr="00D57D3F">
        <w:rPr>
          <w:b/>
          <w:bCs/>
        </w:rPr>
        <w:t xml:space="preserve">recyklace </w:t>
      </w:r>
      <w:r w:rsidRPr="00D57D3F">
        <w:rPr>
          <w:b/>
          <w:bCs/>
        </w:rPr>
        <w:t>(80 %)</w:t>
      </w:r>
      <w:r w:rsidRPr="00D57D3F">
        <w:rPr>
          <w:bCs/>
        </w:rPr>
        <w:t xml:space="preserve"> o</w:t>
      </w:r>
      <w:r w:rsidRPr="00D57D3F">
        <w:rPr>
          <w:bCs/>
        </w:rPr>
        <w:t xml:space="preserve"> 12 %. V roce 2019 bylo využití 103,6 % a recyklace 99,4 %. </w:t>
      </w:r>
    </w:p>
    <w:p w:rsidR="00100312" w:rsidRPr="00D57D3F" w:rsidRDefault="008C12E6" w:rsidP="00B64A8A">
      <w:pPr>
        <w:spacing w:line="276" w:lineRule="auto"/>
        <w:rPr>
          <w:bCs/>
        </w:rPr>
      </w:pPr>
      <w:proofErr w:type="spellStart"/>
      <w:r w:rsidRPr="00D57D3F">
        <w:rPr>
          <w:b/>
          <w:bCs/>
        </w:rPr>
        <w:t>Elektroskupina</w:t>
      </w:r>
      <w:proofErr w:type="spellEnd"/>
      <w:r w:rsidRPr="00D57D3F">
        <w:rPr>
          <w:b/>
          <w:bCs/>
        </w:rPr>
        <w:t xml:space="preserve"> č. 2</w:t>
      </w:r>
      <w:r w:rsidRPr="00D57D3F">
        <w:rPr>
          <w:bCs/>
        </w:rPr>
        <w:t xml:space="preserve"> „Obrazovky, monitory a zařízení obsahující obrazovky o ploše větší než 100</w:t>
      </w:r>
      <w:r w:rsidR="007B5F90">
        <w:rPr>
          <w:bCs/>
        </w:rPr>
        <w:t> </w:t>
      </w:r>
      <w:r w:rsidRPr="00D57D3F">
        <w:rPr>
          <w:bCs/>
        </w:rPr>
        <w:t>cm</w:t>
      </w:r>
      <w:r w:rsidRPr="00D57D3F">
        <w:rPr>
          <w:bCs/>
          <w:vertAlign w:val="superscript"/>
        </w:rPr>
        <w:t>2</w:t>
      </w:r>
      <w:r w:rsidRPr="00D57D3F">
        <w:rPr>
          <w:bCs/>
        </w:rPr>
        <w:t xml:space="preserve">“ </w:t>
      </w:r>
      <w:r w:rsidR="00606A35" w:rsidRPr="00D57D3F">
        <w:rPr>
          <w:bCs/>
        </w:rPr>
        <w:t xml:space="preserve">- </w:t>
      </w:r>
      <w:r w:rsidR="007F1DEF" w:rsidRPr="00D57D3F">
        <w:rPr>
          <w:bCs/>
        </w:rPr>
        <w:t>využití dosáhl</w:t>
      </w:r>
      <w:r w:rsidR="00606A35" w:rsidRPr="00D57D3F">
        <w:rPr>
          <w:bCs/>
        </w:rPr>
        <w:t>o</w:t>
      </w:r>
      <w:r w:rsidR="007F1DEF" w:rsidRPr="00D57D3F">
        <w:rPr>
          <w:bCs/>
        </w:rPr>
        <w:t xml:space="preserve"> 95,5 % a </w:t>
      </w:r>
      <w:r w:rsidR="00606A35" w:rsidRPr="00D57D3F">
        <w:rPr>
          <w:bCs/>
        </w:rPr>
        <w:t xml:space="preserve">byl </w:t>
      </w:r>
      <w:r w:rsidRPr="00D57D3F">
        <w:rPr>
          <w:b/>
          <w:bCs/>
        </w:rPr>
        <w:t>překroč</w:t>
      </w:r>
      <w:r w:rsidR="00606A35" w:rsidRPr="00D57D3F">
        <w:rPr>
          <w:b/>
          <w:bCs/>
        </w:rPr>
        <w:t>en</w:t>
      </w:r>
      <w:r w:rsidRPr="00D57D3F">
        <w:rPr>
          <w:b/>
          <w:bCs/>
        </w:rPr>
        <w:t xml:space="preserve"> </w:t>
      </w:r>
      <w:r w:rsidR="001E2074" w:rsidRPr="00D57D3F">
        <w:rPr>
          <w:b/>
          <w:bCs/>
        </w:rPr>
        <w:t>cíl</w:t>
      </w:r>
      <w:r w:rsidRPr="00D57D3F">
        <w:rPr>
          <w:b/>
          <w:bCs/>
        </w:rPr>
        <w:t xml:space="preserve"> </w:t>
      </w:r>
      <w:r w:rsidR="007F1DEF" w:rsidRPr="00D57D3F">
        <w:rPr>
          <w:b/>
          <w:bCs/>
        </w:rPr>
        <w:t xml:space="preserve">využití </w:t>
      </w:r>
      <w:r w:rsidRPr="00D57D3F">
        <w:rPr>
          <w:b/>
          <w:bCs/>
        </w:rPr>
        <w:t xml:space="preserve">(80 %) </w:t>
      </w:r>
      <w:r w:rsidRPr="00D57D3F">
        <w:rPr>
          <w:bCs/>
        </w:rPr>
        <w:t>o 15,5 %</w:t>
      </w:r>
      <w:r w:rsidR="007F1DEF" w:rsidRPr="00D57D3F">
        <w:rPr>
          <w:bCs/>
        </w:rPr>
        <w:t>. Dále bylo dosaženo recyklace 95,4</w:t>
      </w:r>
      <w:r w:rsidR="00606A35" w:rsidRPr="00D57D3F">
        <w:rPr>
          <w:bCs/>
        </w:rPr>
        <w:t xml:space="preserve"> </w:t>
      </w:r>
      <w:r w:rsidR="007F1DEF" w:rsidRPr="00D57D3F">
        <w:rPr>
          <w:bCs/>
        </w:rPr>
        <w:t xml:space="preserve">% </w:t>
      </w:r>
      <w:r w:rsidRPr="00D57D3F">
        <w:rPr>
          <w:bCs/>
        </w:rPr>
        <w:t xml:space="preserve">a </w:t>
      </w:r>
      <w:r w:rsidR="007F1DEF" w:rsidRPr="00D57D3F">
        <w:rPr>
          <w:bCs/>
        </w:rPr>
        <w:t xml:space="preserve">byl </w:t>
      </w:r>
      <w:r w:rsidR="007F1DEF" w:rsidRPr="00D57D3F">
        <w:rPr>
          <w:b/>
          <w:bCs/>
        </w:rPr>
        <w:t>překročen</w:t>
      </w:r>
      <w:r w:rsidR="007F1DEF" w:rsidRPr="00D57D3F">
        <w:rPr>
          <w:bCs/>
        </w:rPr>
        <w:t xml:space="preserve"> požadovaný </w:t>
      </w:r>
      <w:r w:rsidR="007F1DEF" w:rsidRPr="00D57D3F">
        <w:rPr>
          <w:b/>
          <w:bCs/>
        </w:rPr>
        <w:t xml:space="preserve">cíl </w:t>
      </w:r>
      <w:r w:rsidRPr="00D57D3F">
        <w:rPr>
          <w:b/>
          <w:bCs/>
        </w:rPr>
        <w:t>recyklace (70 %)</w:t>
      </w:r>
      <w:r w:rsidRPr="00D57D3F">
        <w:rPr>
          <w:bCs/>
        </w:rPr>
        <w:t xml:space="preserve"> o 25,4 %.  V roce 2019 bylo využití 94,8 % a recyklace 94,2</w:t>
      </w:r>
      <w:r w:rsidR="00AE1350" w:rsidRPr="00D57D3F">
        <w:rPr>
          <w:bCs/>
        </w:rPr>
        <w:t xml:space="preserve"> </w:t>
      </w:r>
      <w:r w:rsidRPr="00D57D3F">
        <w:rPr>
          <w:bCs/>
        </w:rPr>
        <w:t xml:space="preserve">%. </w:t>
      </w:r>
    </w:p>
    <w:p w:rsidR="00100312" w:rsidRPr="00D57D3F" w:rsidRDefault="008C12E6" w:rsidP="00B64A8A">
      <w:pPr>
        <w:spacing w:line="276" w:lineRule="auto"/>
        <w:rPr>
          <w:b/>
          <w:bCs/>
        </w:rPr>
      </w:pPr>
      <w:proofErr w:type="spellStart"/>
      <w:r w:rsidRPr="00D57D3F">
        <w:rPr>
          <w:b/>
          <w:bCs/>
        </w:rPr>
        <w:lastRenderedPageBreak/>
        <w:t>Elektroskupina</w:t>
      </w:r>
      <w:proofErr w:type="spellEnd"/>
      <w:r w:rsidRPr="00D57D3F">
        <w:rPr>
          <w:b/>
          <w:bCs/>
        </w:rPr>
        <w:t xml:space="preserve"> č. </w:t>
      </w:r>
      <w:r w:rsidR="00B64A8A" w:rsidRPr="00D57D3F">
        <w:rPr>
          <w:b/>
          <w:bCs/>
        </w:rPr>
        <w:t>3</w:t>
      </w:r>
      <w:r w:rsidR="00B64A8A" w:rsidRPr="00D57D3F">
        <w:rPr>
          <w:bCs/>
        </w:rPr>
        <w:t xml:space="preserve"> „Světelné zdroje“</w:t>
      </w:r>
      <w:r w:rsidR="00606A35" w:rsidRPr="00D57D3F">
        <w:rPr>
          <w:bCs/>
        </w:rPr>
        <w:t xml:space="preserve"> - </w:t>
      </w:r>
      <w:r w:rsidRPr="00D57D3F">
        <w:rPr>
          <w:bCs/>
        </w:rPr>
        <w:t xml:space="preserve">cíl je stanoven pro </w:t>
      </w:r>
      <w:r w:rsidR="00B64A8A" w:rsidRPr="00D57D3F">
        <w:rPr>
          <w:bCs/>
        </w:rPr>
        <w:t>úroveň recyklace (tj. bez opětovného použití).</w:t>
      </w:r>
      <w:r w:rsidR="001E2074" w:rsidRPr="00D57D3F">
        <w:rPr>
          <w:bCs/>
        </w:rPr>
        <w:t xml:space="preserve"> </w:t>
      </w:r>
      <w:r w:rsidR="00B64A8A" w:rsidRPr="00D57D3F">
        <w:rPr>
          <w:bCs/>
        </w:rPr>
        <w:t xml:space="preserve">Míra recyklace </w:t>
      </w:r>
      <w:r w:rsidR="008E47D7" w:rsidRPr="00D57D3F">
        <w:rPr>
          <w:bCs/>
        </w:rPr>
        <w:t xml:space="preserve">dosáhla </w:t>
      </w:r>
      <w:r w:rsidR="00016830" w:rsidRPr="00D57D3F">
        <w:rPr>
          <w:bCs/>
        </w:rPr>
        <w:t>95,2 % a</w:t>
      </w:r>
      <w:r w:rsidR="00016830" w:rsidRPr="00D57D3F">
        <w:rPr>
          <w:b/>
          <w:bCs/>
        </w:rPr>
        <w:t xml:space="preserve"> </w:t>
      </w:r>
      <w:r w:rsidR="00B64A8A" w:rsidRPr="00D57D3F">
        <w:rPr>
          <w:b/>
          <w:bCs/>
        </w:rPr>
        <w:t xml:space="preserve">přesáhla </w:t>
      </w:r>
      <w:r w:rsidR="00B64A8A" w:rsidRPr="00D57D3F">
        <w:rPr>
          <w:bCs/>
        </w:rPr>
        <w:t>o 15,2 %</w:t>
      </w:r>
      <w:r w:rsidR="00B64A8A" w:rsidRPr="00D57D3F">
        <w:rPr>
          <w:b/>
          <w:bCs/>
        </w:rPr>
        <w:t xml:space="preserve"> </w:t>
      </w:r>
      <w:r w:rsidRPr="00D57D3F">
        <w:rPr>
          <w:bCs/>
        </w:rPr>
        <w:t xml:space="preserve">stanovený </w:t>
      </w:r>
      <w:r w:rsidR="001E2074" w:rsidRPr="00D57D3F">
        <w:rPr>
          <w:b/>
          <w:bCs/>
        </w:rPr>
        <w:t xml:space="preserve">cíl </w:t>
      </w:r>
      <w:r w:rsidR="00016830" w:rsidRPr="00D57D3F">
        <w:rPr>
          <w:b/>
          <w:bCs/>
        </w:rPr>
        <w:t xml:space="preserve">recyklace </w:t>
      </w:r>
      <w:r w:rsidR="00B64A8A" w:rsidRPr="00D57D3F">
        <w:rPr>
          <w:b/>
          <w:bCs/>
        </w:rPr>
        <w:t>(80 %)</w:t>
      </w:r>
      <w:r w:rsidR="00B64A8A" w:rsidRPr="00D57D3F">
        <w:rPr>
          <w:bCs/>
        </w:rPr>
        <w:t>.</w:t>
      </w:r>
      <w:r w:rsidR="00B64A8A" w:rsidRPr="00D57D3F">
        <w:rPr>
          <w:b/>
          <w:bCs/>
        </w:rPr>
        <w:t xml:space="preserve"> </w:t>
      </w:r>
      <w:r w:rsidR="000F1047" w:rsidRPr="00D57D3F">
        <w:rPr>
          <w:b/>
          <w:bCs/>
        </w:rPr>
        <w:t xml:space="preserve"> </w:t>
      </w:r>
      <w:r w:rsidR="000F1047" w:rsidRPr="00D57D3F">
        <w:rPr>
          <w:bCs/>
        </w:rPr>
        <w:t xml:space="preserve">V roce 2019 byla recyklace 88,3 %. </w:t>
      </w:r>
    </w:p>
    <w:p w:rsidR="00B64A8A" w:rsidRPr="00D57D3F" w:rsidRDefault="008C12E6" w:rsidP="00B64A8A">
      <w:pPr>
        <w:spacing w:line="276" w:lineRule="auto"/>
        <w:rPr>
          <w:bCs/>
        </w:rPr>
      </w:pPr>
      <w:proofErr w:type="spellStart"/>
      <w:r w:rsidRPr="00D57D3F">
        <w:rPr>
          <w:b/>
          <w:bCs/>
        </w:rPr>
        <w:t>Elektroskupina</w:t>
      </w:r>
      <w:proofErr w:type="spellEnd"/>
      <w:r w:rsidRPr="00D57D3F">
        <w:rPr>
          <w:b/>
          <w:bCs/>
        </w:rPr>
        <w:t xml:space="preserve"> č. 4</w:t>
      </w:r>
      <w:r w:rsidRPr="00D57D3F">
        <w:rPr>
          <w:bCs/>
        </w:rPr>
        <w:t xml:space="preserve"> - vzhledem k tomu, že pro skupiny č. </w:t>
      </w:r>
      <w:proofErr w:type="gramStart"/>
      <w:r w:rsidRPr="00D57D3F">
        <w:rPr>
          <w:bCs/>
        </w:rPr>
        <w:t>4a</w:t>
      </w:r>
      <w:proofErr w:type="gramEnd"/>
      <w:r w:rsidRPr="00D57D3F">
        <w:rPr>
          <w:bCs/>
        </w:rPr>
        <w:t xml:space="preserve"> a č. 4b není v zákoně v příloze č.</w:t>
      </w:r>
      <w:r w:rsidR="00864D8E" w:rsidRPr="00D57D3F">
        <w:rPr>
          <w:bCs/>
        </w:rPr>
        <w:t> </w:t>
      </w:r>
      <w:r w:rsidRPr="00D57D3F">
        <w:rPr>
          <w:bCs/>
        </w:rPr>
        <w:t>14, uvedena míra využití a míra recyklace samostatně, uvádí se sk</w:t>
      </w:r>
      <w:r w:rsidRPr="00D57D3F">
        <w:rPr>
          <w:bCs/>
        </w:rPr>
        <w:t xml:space="preserve">upina č. 4 „Velká zařízení, jejichž kterýkoli vnější rozměr přesahuje 50 cm“, jako celek. </w:t>
      </w:r>
      <w:r w:rsidRPr="00D57D3F">
        <w:rPr>
          <w:b/>
          <w:bCs/>
        </w:rPr>
        <w:t xml:space="preserve">Míra využití </w:t>
      </w:r>
      <w:r w:rsidRPr="00D57D3F">
        <w:rPr>
          <w:bCs/>
        </w:rPr>
        <w:t xml:space="preserve">87,7 </w:t>
      </w:r>
      <w:r w:rsidR="00E961B6" w:rsidRPr="00D57D3F">
        <w:rPr>
          <w:bCs/>
        </w:rPr>
        <w:t xml:space="preserve">% </w:t>
      </w:r>
      <w:r w:rsidRPr="00D57D3F">
        <w:rPr>
          <w:b/>
          <w:bCs/>
        </w:rPr>
        <w:t xml:space="preserve">překročila </w:t>
      </w:r>
      <w:r w:rsidRPr="00D57D3F">
        <w:rPr>
          <w:bCs/>
        </w:rPr>
        <w:t>požadovaný</w:t>
      </w:r>
      <w:r w:rsidRPr="00D57D3F">
        <w:rPr>
          <w:b/>
          <w:bCs/>
        </w:rPr>
        <w:t xml:space="preserve"> cíl </w:t>
      </w:r>
      <w:r w:rsidR="005D526F" w:rsidRPr="00D57D3F">
        <w:rPr>
          <w:b/>
          <w:bCs/>
        </w:rPr>
        <w:t xml:space="preserve">využití </w:t>
      </w:r>
      <w:r w:rsidRPr="00D57D3F">
        <w:rPr>
          <w:b/>
          <w:bCs/>
        </w:rPr>
        <w:t xml:space="preserve">(85 %) </w:t>
      </w:r>
      <w:r w:rsidRPr="00D57D3F">
        <w:rPr>
          <w:bCs/>
        </w:rPr>
        <w:t>o 2,7 % a</w:t>
      </w:r>
      <w:r w:rsidRPr="00D57D3F">
        <w:rPr>
          <w:b/>
          <w:bCs/>
        </w:rPr>
        <w:t xml:space="preserve"> recyklace </w:t>
      </w:r>
      <w:r w:rsidRPr="00D57D3F">
        <w:rPr>
          <w:bCs/>
        </w:rPr>
        <w:t xml:space="preserve">87,4 </w:t>
      </w:r>
      <w:r w:rsidR="005D526F" w:rsidRPr="00D57D3F">
        <w:rPr>
          <w:bCs/>
        </w:rPr>
        <w:t xml:space="preserve">% přesáhla </w:t>
      </w:r>
      <w:r w:rsidRPr="00D57D3F">
        <w:rPr>
          <w:b/>
          <w:bCs/>
        </w:rPr>
        <w:t xml:space="preserve">cíl </w:t>
      </w:r>
      <w:r w:rsidR="005D526F" w:rsidRPr="00D57D3F">
        <w:rPr>
          <w:b/>
          <w:bCs/>
        </w:rPr>
        <w:t xml:space="preserve">recyklace </w:t>
      </w:r>
      <w:r w:rsidRPr="00D57D3F">
        <w:rPr>
          <w:b/>
          <w:bCs/>
        </w:rPr>
        <w:t xml:space="preserve">(80 %) </w:t>
      </w:r>
      <w:r w:rsidRPr="00D57D3F">
        <w:rPr>
          <w:bCs/>
        </w:rPr>
        <w:t>o 7,4 %.</w:t>
      </w:r>
    </w:p>
    <w:p w:rsidR="000F1047" w:rsidRPr="00D57D3F" w:rsidRDefault="008C12E6" w:rsidP="00B64A8A">
      <w:pPr>
        <w:spacing w:line="276" w:lineRule="auto"/>
        <w:rPr>
          <w:bCs/>
        </w:rPr>
      </w:pPr>
      <w:r w:rsidRPr="00D57D3F">
        <w:rPr>
          <w:bCs/>
        </w:rPr>
        <w:t xml:space="preserve">V roce 2019 bylo využití 93,7 % a recyklace 93,2 %. </w:t>
      </w:r>
    </w:p>
    <w:p w:rsidR="000F1047" w:rsidRPr="00D57D3F" w:rsidRDefault="008C12E6" w:rsidP="000F1047">
      <w:pPr>
        <w:spacing w:line="276" w:lineRule="auto"/>
        <w:rPr>
          <w:bCs/>
        </w:rPr>
      </w:pPr>
      <w:proofErr w:type="spellStart"/>
      <w:r w:rsidRPr="00D57D3F">
        <w:rPr>
          <w:b/>
          <w:bCs/>
        </w:rPr>
        <w:t>Elektroskupina</w:t>
      </w:r>
      <w:proofErr w:type="spellEnd"/>
      <w:r w:rsidRPr="00D57D3F">
        <w:rPr>
          <w:b/>
          <w:bCs/>
        </w:rPr>
        <w:t xml:space="preserve"> č. 5</w:t>
      </w:r>
      <w:r w:rsidRPr="00D57D3F">
        <w:rPr>
          <w:bCs/>
        </w:rPr>
        <w:t xml:space="preserve"> </w:t>
      </w:r>
      <w:r w:rsidR="00B64A8A" w:rsidRPr="00D57D3F">
        <w:rPr>
          <w:bCs/>
        </w:rPr>
        <w:t xml:space="preserve">„Malá zařízení, jejichž žádný rozměr nepřesahuje 50 cm“, </w:t>
      </w:r>
      <w:r w:rsidR="00BA20D9" w:rsidRPr="00D57D3F">
        <w:rPr>
          <w:bCs/>
        </w:rPr>
        <w:t xml:space="preserve">zde </w:t>
      </w:r>
      <w:r w:rsidRPr="00D57D3F">
        <w:rPr>
          <w:bCs/>
        </w:rPr>
        <w:t xml:space="preserve">bylo dosaženo </w:t>
      </w:r>
      <w:r w:rsidR="00B64A8A" w:rsidRPr="00D57D3F">
        <w:rPr>
          <w:b/>
          <w:bCs/>
        </w:rPr>
        <w:t xml:space="preserve">využití </w:t>
      </w:r>
      <w:r w:rsidRPr="00D57D3F">
        <w:rPr>
          <w:bCs/>
        </w:rPr>
        <w:t>89,4 %, tj</w:t>
      </w:r>
      <w:r w:rsidR="004B4F5D" w:rsidRPr="00D57D3F">
        <w:rPr>
          <w:bCs/>
        </w:rPr>
        <w:t>.</w:t>
      </w:r>
      <w:r w:rsidRPr="00D57D3F">
        <w:rPr>
          <w:bCs/>
        </w:rPr>
        <w:t xml:space="preserve"> </w:t>
      </w:r>
      <w:r w:rsidR="00B64A8A" w:rsidRPr="00D57D3F">
        <w:rPr>
          <w:bCs/>
        </w:rPr>
        <w:t>o 14,4 % vyšší</w:t>
      </w:r>
      <w:r w:rsidR="007511F9" w:rsidRPr="00D57D3F">
        <w:rPr>
          <w:bCs/>
        </w:rPr>
        <w:t>,</w:t>
      </w:r>
      <w:r w:rsidR="00B64A8A" w:rsidRPr="00D57D3F">
        <w:rPr>
          <w:bCs/>
        </w:rPr>
        <w:t xml:space="preserve"> než </w:t>
      </w:r>
      <w:r w:rsidRPr="00D57D3F">
        <w:rPr>
          <w:bCs/>
        </w:rPr>
        <w:t xml:space="preserve">byl požadavek, </w:t>
      </w:r>
      <w:r w:rsidRPr="00D57D3F">
        <w:rPr>
          <w:b/>
          <w:bCs/>
        </w:rPr>
        <w:t xml:space="preserve">cíl využití </w:t>
      </w:r>
      <w:r w:rsidR="00B64A8A" w:rsidRPr="00D57D3F">
        <w:rPr>
          <w:b/>
          <w:bCs/>
        </w:rPr>
        <w:t>(75 %)</w:t>
      </w:r>
      <w:r w:rsidR="00B64A8A" w:rsidRPr="00D57D3F">
        <w:rPr>
          <w:bCs/>
        </w:rPr>
        <w:t xml:space="preserve"> </w:t>
      </w:r>
      <w:r w:rsidRPr="00D57D3F">
        <w:rPr>
          <w:bCs/>
        </w:rPr>
        <w:t>byl</w:t>
      </w:r>
      <w:r w:rsidRPr="00D57D3F">
        <w:rPr>
          <w:b/>
          <w:bCs/>
        </w:rPr>
        <w:t xml:space="preserve"> překročen</w:t>
      </w:r>
      <w:r w:rsidRPr="00D57D3F">
        <w:rPr>
          <w:bCs/>
        </w:rPr>
        <w:t xml:space="preserve">. Dále bylo dosaženo </w:t>
      </w:r>
      <w:r w:rsidRPr="00D57D3F">
        <w:rPr>
          <w:bCs/>
        </w:rPr>
        <w:t xml:space="preserve">83,1 % </w:t>
      </w:r>
      <w:proofErr w:type="gramStart"/>
      <w:r w:rsidR="00B64A8A" w:rsidRPr="00D57D3F">
        <w:rPr>
          <w:bCs/>
        </w:rPr>
        <w:t>recyklace</w:t>
      </w:r>
      <w:proofErr w:type="gramEnd"/>
      <w:r w:rsidRPr="00D57D3F">
        <w:rPr>
          <w:bCs/>
        </w:rPr>
        <w:t xml:space="preserve"> tj. </w:t>
      </w:r>
      <w:r w:rsidR="00B64A8A" w:rsidRPr="00D57D3F">
        <w:rPr>
          <w:bCs/>
        </w:rPr>
        <w:t xml:space="preserve">o 28,1 % </w:t>
      </w:r>
      <w:r w:rsidRPr="00D57D3F">
        <w:rPr>
          <w:bCs/>
        </w:rPr>
        <w:t>vyšší</w:t>
      </w:r>
      <w:r w:rsidR="007511F9" w:rsidRPr="00D57D3F">
        <w:rPr>
          <w:bCs/>
        </w:rPr>
        <w:t xml:space="preserve">, </w:t>
      </w:r>
      <w:r w:rsidRPr="00D57D3F">
        <w:rPr>
          <w:bCs/>
        </w:rPr>
        <w:t xml:space="preserve">než byl požadavek, </w:t>
      </w:r>
      <w:r w:rsidRPr="00D57D3F">
        <w:rPr>
          <w:b/>
          <w:bCs/>
        </w:rPr>
        <w:t xml:space="preserve">cíl recyklace (55 %) </w:t>
      </w:r>
      <w:r w:rsidRPr="00D57D3F">
        <w:rPr>
          <w:bCs/>
        </w:rPr>
        <w:t>byl</w:t>
      </w:r>
      <w:r w:rsidRPr="00D57D3F">
        <w:rPr>
          <w:b/>
          <w:bCs/>
        </w:rPr>
        <w:t xml:space="preserve"> překročen</w:t>
      </w:r>
      <w:r w:rsidRPr="00D57D3F">
        <w:rPr>
          <w:bCs/>
        </w:rPr>
        <w:t xml:space="preserve">. V roce 2019 bylo využití 95,2 % a recyklace 85,7 %. </w:t>
      </w:r>
    </w:p>
    <w:bookmarkEnd w:id="28"/>
    <w:p w:rsidR="000F1047" w:rsidRPr="00D57D3F" w:rsidRDefault="008C12E6" w:rsidP="00A81C17">
      <w:pPr>
        <w:spacing w:after="120" w:line="276" w:lineRule="auto"/>
        <w:rPr>
          <w:bCs/>
        </w:rPr>
      </w:pPr>
      <w:proofErr w:type="spellStart"/>
      <w:r w:rsidRPr="00D57D3F">
        <w:rPr>
          <w:b/>
          <w:bCs/>
        </w:rPr>
        <w:t>Elektroskupina</w:t>
      </w:r>
      <w:proofErr w:type="spellEnd"/>
      <w:r w:rsidRPr="00D57D3F">
        <w:rPr>
          <w:b/>
          <w:bCs/>
        </w:rPr>
        <w:t xml:space="preserve"> č. 6</w:t>
      </w:r>
      <w:r w:rsidRPr="00D57D3F">
        <w:rPr>
          <w:bCs/>
        </w:rPr>
        <w:t xml:space="preserve"> </w:t>
      </w:r>
      <w:r w:rsidR="00B64A8A" w:rsidRPr="00D57D3F">
        <w:rPr>
          <w:bCs/>
        </w:rPr>
        <w:t>„Malá zařízení informačních technologií a telekomunikačních zařízení, jejichž žádný vnější rozměr nepřesahuje 50 cm“,</w:t>
      </w:r>
      <w:r w:rsidR="00050AFC" w:rsidRPr="00D57D3F">
        <w:rPr>
          <w:bCs/>
        </w:rPr>
        <w:t xml:space="preserve"> </w:t>
      </w:r>
      <w:r w:rsidRPr="00D57D3F">
        <w:rPr>
          <w:bCs/>
        </w:rPr>
        <w:t xml:space="preserve">zde bylo dosaženo </w:t>
      </w:r>
      <w:r w:rsidRPr="00D57D3F">
        <w:rPr>
          <w:b/>
          <w:bCs/>
        </w:rPr>
        <w:t xml:space="preserve">využití </w:t>
      </w:r>
      <w:r w:rsidRPr="00D57D3F">
        <w:rPr>
          <w:bCs/>
        </w:rPr>
        <w:t>89,5 %, tj. o 14,5 %</w:t>
      </w:r>
      <w:r w:rsidR="008B70F5" w:rsidRPr="00D57D3F">
        <w:rPr>
          <w:bCs/>
        </w:rPr>
        <w:t xml:space="preserve"> </w:t>
      </w:r>
      <w:r w:rsidRPr="00D57D3F">
        <w:rPr>
          <w:bCs/>
        </w:rPr>
        <w:t>vyšší</w:t>
      </w:r>
      <w:r w:rsidR="008B70F5" w:rsidRPr="00D57D3F">
        <w:rPr>
          <w:bCs/>
        </w:rPr>
        <w:t>,</w:t>
      </w:r>
      <w:r w:rsidRPr="00D57D3F">
        <w:rPr>
          <w:bCs/>
        </w:rPr>
        <w:t xml:space="preserve"> než byl požadavek</w:t>
      </w:r>
      <w:r w:rsidRPr="00D57D3F">
        <w:rPr>
          <w:b/>
          <w:bCs/>
        </w:rPr>
        <w:t xml:space="preserve">, cíl využití (75 %) </w:t>
      </w:r>
      <w:r w:rsidRPr="00D57D3F">
        <w:rPr>
          <w:bCs/>
        </w:rPr>
        <w:t>byl</w:t>
      </w:r>
      <w:r w:rsidRPr="00D57D3F">
        <w:rPr>
          <w:b/>
          <w:bCs/>
        </w:rPr>
        <w:t xml:space="preserve"> překročen</w:t>
      </w:r>
      <w:r w:rsidRPr="00D57D3F">
        <w:rPr>
          <w:bCs/>
        </w:rPr>
        <w:t>. Dále bylo dosaženo 87,1 % recyklace</w:t>
      </w:r>
      <w:r w:rsidR="008B70F5" w:rsidRPr="00D57D3F">
        <w:rPr>
          <w:bCs/>
        </w:rPr>
        <w:t xml:space="preserve">, </w:t>
      </w:r>
      <w:r w:rsidRPr="00D57D3F">
        <w:rPr>
          <w:bCs/>
        </w:rPr>
        <w:t>tj. o 32,1 % vyšší</w:t>
      </w:r>
      <w:r w:rsidR="008B70F5" w:rsidRPr="00D57D3F">
        <w:rPr>
          <w:bCs/>
        </w:rPr>
        <w:t xml:space="preserve">, </w:t>
      </w:r>
      <w:r w:rsidRPr="00D57D3F">
        <w:rPr>
          <w:bCs/>
        </w:rPr>
        <w:t xml:space="preserve">než byl požadavek, </w:t>
      </w:r>
      <w:r w:rsidRPr="00D57D3F">
        <w:rPr>
          <w:b/>
          <w:bCs/>
        </w:rPr>
        <w:t xml:space="preserve">cíl recyklace (55 %) </w:t>
      </w:r>
      <w:r w:rsidRPr="00D57D3F">
        <w:rPr>
          <w:bCs/>
        </w:rPr>
        <w:t xml:space="preserve">byl </w:t>
      </w:r>
      <w:r w:rsidRPr="00D57D3F">
        <w:rPr>
          <w:b/>
          <w:bCs/>
        </w:rPr>
        <w:t>překročen</w:t>
      </w:r>
      <w:r w:rsidRPr="00D57D3F">
        <w:rPr>
          <w:bCs/>
        </w:rPr>
        <w:t>. V roce 201</w:t>
      </w:r>
      <w:r w:rsidRPr="00D57D3F">
        <w:rPr>
          <w:bCs/>
        </w:rPr>
        <w:t xml:space="preserve">9 bylo využití 85,5 % a recyklace 81,2 %. </w:t>
      </w:r>
    </w:p>
    <w:p w:rsidR="00721FAE" w:rsidRPr="00D57D3F" w:rsidRDefault="008C12E6" w:rsidP="00721FAE">
      <w:pPr>
        <w:spacing w:line="276" w:lineRule="auto"/>
        <w:rPr>
          <w:bCs/>
        </w:rPr>
      </w:pPr>
      <w:r w:rsidRPr="00D57D3F">
        <w:rPr>
          <w:b/>
          <w:bCs/>
        </w:rPr>
        <w:t>ČR pln</w:t>
      </w:r>
      <w:r w:rsidR="008E1FCB" w:rsidRPr="00D57D3F">
        <w:rPr>
          <w:b/>
          <w:bCs/>
        </w:rPr>
        <w:t>ila</w:t>
      </w:r>
      <w:r w:rsidRPr="00D57D3F">
        <w:rPr>
          <w:b/>
          <w:bCs/>
        </w:rPr>
        <w:t xml:space="preserve"> v letech 2019 a 2020 </w:t>
      </w:r>
      <w:r w:rsidR="00BA20D9" w:rsidRPr="00D57D3F">
        <w:rPr>
          <w:b/>
          <w:bCs/>
        </w:rPr>
        <w:t xml:space="preserve">všechny </w:t>
      </w:r>
      <w:r w:rsidRPr="00D57D3F">
        <w:rPr>
          <w:b/>
          <w:bCs/>
        </w:rPr>
        <w:t>stanovené cíle využití, recyklace a opětovného použití ve všech skupinách</w:t>
      </w:r>
      <w:r w:rsidRPr="00D57D3F">
        <w:rPr>
          <w:bCs/>
        </w:rPr>
        <w:t xml:space="preserve"> elektrozařízení.</w:t>
      </w:r>
    </w:p>
    <w:p w:rsidR="002460B5" w:rsidRPr="00D57D3F" w:rsidRDefault="002460B5" w:rsidP="00B64A8A">
      <w:pPr>
        <w:spacing w:line="276" w:lineRule="auto"/>
        <w:rPr>
          <w:bCs/>
        </w:rPr>
      </w:pPr>
    </w:p>
    <w:p w:rsidR="0028128A" w:rsidRPr="00311C67" w:rsidRDefault="008C12E6" w:rsidP="00B60FB0">
      <w:pPr>
        <w:spacing w:after="60" w:line="276" w:lineRule="auto"/>
        <w:rPr>
          <w:b/>
          <w:bCs/>
        </w:rPr>
      </w:pPr>
      <w:r w:rsidRPr="008C57BF">
        <w:rPr>
          <w:b/>
          <w:bCs/>
        </w:rPr>
        <w:t>Tabulka</w:t>
      </w:r>
      <w:r w:rsidR="00277718" w:rsidRPr="008C57BF">
        <w:rPr>
          <w:b/>
          <w:bCs/>
        </w:rPr>
        <w:t xml:space="preserve"> </w:t>
      </w:r>
      <w:r w:rsidR="00A51A91" w:rsidRPr="008C57BF">
        <w:rPr>
          <w:b/>
          <w:bCs/>
        </w:rPr>
        <w:t>2</w:t>
      </w:r>
      <w:r w:rsidRPr="008C57BF">
        <w:rPr>
          <w:b/>
          <w:bCs/>
        </w:rPr>
        <w:t>: Využití ve</w:t>
      </w:r>
      <w:r w:rsidRPr="00D57D3F">
        <w:rPr>
          <w:b/>
          <w:bCs/>
        </w:rPr>
        <w:t xml:space="preserve"> skupinách elektrozařízení v roce 201</w:t>
      </w:r>
      <w:r w:rsidR="00D766A2" w:rsidRPr="00D57D3F">
        <w:rPr>
          <w:b/>
          <w:bCs/>
        </w:rPr>
        <w:t>9</w:t>
      </w:r>
      <w:r w:rsidRPr="00D57D3F">
        <w:rPr>
          <w:b/>
          <w:bCs/>
        </w:rPr>
        <w:t xml:space="preserve"> a 20</w:t>
      </w:r>
      <w:r w:rsidR="00D766A2" w:rsidRPr="00D57D3F">
        <w:rPr>
          <w:b/>
          <w:bCs/>
        </w:rPr>
        <w:t>20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</w:tblGrid>
      <w:tr w:rsidR="007E5173" w:rsidTr="005E2DEC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4A" w:rsidRPr="00CF044A" w:rsidRDefault="008C12E6" w:rsidP="00281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4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4A" w:rsidRPr="00D57D3F" w:rsidRDefault="008C12E6" w:rsidP="00D766A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ROK 20</w:t>
            </w:r>
            <w:r w:rsidR="00D766A2"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4A" w:rsidRPr="00D57D3F" w:rsidRDefault="008C12E6" w:rsidP="00D766A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ROK </w:t>
            </w: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D766A2"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4A" w:rsidRPr="00D57D3F" w:rsidRDefault="008C12E6" w:rsidP="00105F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Cíle</w:t>
            </w:r>
          </w:p>
        </w:tc>
      </w:tr>
      <w:tr w:rsidR="007E5173" w:rsidTr="005E2DEC">
        <w:trPr>
          <w:trHeight w:val="129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Skupina elektrozařízení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Využití</w:t>
            </w:r>
          </w:p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Recyklace a opětovné použití</w:t>
            </w:r>
          </w:p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Využití</w:t>
            </w:r>
          </w:p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Recyklace a opětovné použití</w:t>
            </w:r>
          </w:p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Využití</w:t>
            </w:r>
          </w:p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Recyklace a opětovné použití</w:t>
            </w:r>
          </w:p>
          <w:p w:rsidR="00CF044A" w:rsidRPr="00D57D3F" w:rsidRDefault="008C12E6" w:rsidP="00CF04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(%)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70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3.*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4a</w:t>
            </w:r>
            <w:proofErr w:type="gramEnd"/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.**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6863D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6863D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4b</w:t>
            </w:r>
            <w:proofErr w:type="gramEnd"/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.**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6863D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6863D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4.***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55</w:t>
            </w:r>
          </w:p>
        </w:tc>
      </w:tr>
      <w:tr w:rsidR="007E5173" w:rsidTr="005E2DEC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3D6" w:rsidRPr="00D57D3F" w:rsidRDefault="008C12E6" w:rsidP="006863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7D3F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863D6" w:rsidRPr="00D57D3F" w:rsidRDefault="008C12E6" w:rsidP="006863D6">
            <w:pPr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57D3F">
              <w:rPr>
                <w:rFonts w:cs="Arial"/>
                <w:color w:val="000000" w:themeColor="text1"/>
                <w:sz w:val="20"/>
                <w:szCs w:val="20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D6" w:rsidRPr="00D57D3F" w:rsidRDefault="008C12E6" w:rsidP="006863D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D3F">
              <w:rPr>
                <w:rFonts w:cs="Arial"/>
                <w:b/>
                <w:color w:val="000000" w:themeColor="text1"/>
                <w:sz w:val="20"/>
                <w:szCs w:val="20"/>
              </w:rPr>
              <w:t>55</w:t>
            </w:r>
          </w:p>
        </w:tc>
      </w:tr>
    </w:tbl>
    <w:p w:rsidR="0028128A" w:rsidRPr="00757670" w:rsidRDefault="008C12E6" w:rsidP="00371043">
      <w:pPr>
        <w:spacing w:before="60" w:after="240" w:line="276" w:lineRule="auto"/>
        <w:rPr>
          <w:bCs/>
          <w:i/>
          <w:sz w:val="18"/>
          <w:szCs w:val="18"/>
        </w:rPr>
      </w:pPr>
      <w:r w:rsidRPr="00757670">
        <w:rPr>
          <w:bCs/>
          <w:i/>
          <w:sz w:val="18"/>
          <w:szCs w:val="18"/>
        </w:rPr>
        <w:t xml:space="preserve">Zdroj: </w:t>
      </w:r>
      <w:r w:rsidR="00C84EFD" w:rsidRPr="00757670">
        <w:rPr>
          <w:bCs/>
          <w:i/>
          <w:sz w:val="18"/>
          <w:szCs w:val="18"/>
        </w:rPr>
        <w:t>ISOH</w:t>
      </w:r>
      <w:r w:rsidR="005E2DEC">
        <w:rPr>
          <w:bCs/>
          <w:i/>
          <w:sz w:val="18"/>
          <w:szCs w:val="18"/>
        </w:rPr>
        <w:t xml:space="preserve">, </w:t>
      </w:r>
      <w:r w:rsidRPr="00757670">
        <w:rPr>
          <w:bCs/>
          <w:i/>
          <w:sz w:val="18"/>
          <w:szCs w:val="18"/>
        </w:rPr>
        <w:t>MŽP</w:t>
      </w:r>
      <w:r w:rsidR="005E2DEC">
        <w:rPr>
          <w:bCs/>
          <w:i/>
          <w:sz w:val="18"/>
          <w:szCs w:val="18"/>
        </w:rPr>
        <w:t>, zpracovatel dat CENIA</w:t>
      </w:r>
    </w:p>
    <w:p w:rsidR="00AF3D5E" w:rsidRDefault="008C12E6" w:rsidP="00757670">
      <w:pPr>
        <w:spacing w:after="120" w:line="276" w:lineRule="auto"/>
      </w:pPr>
      <w:r w:rsidRPr="00D57D3F">
        <w:t xml:space="preserve">Nejčastějším způsobem využití elektrozařízení a elektroodpadu v roce </w:t>
      </w:r>
      <w:r w:rsidR="00814FA8" w:rsidRPr="00D57D3F">
        <w:t>201</w:t>
      </w:r>
      <w:r w:rsidR="002F5C5F" w:rsidRPr="00D57D3F">
        <w:t>9</w:t>
      </w:r>
      <w:r w:rsidR="00814FA8" w:rsidRPr="00D57D3F">
        <w:t xml:space="preserve"> i </w:t>
      </w:r>
      <w:r w:rsidRPr="00D57D3F">
        <w:t>20</w:t>
      </w:r>
      <w:r w:rsidR="002F5C5F" w:rsidRPr="00D57D3F">
        <w:t>20</w:t>
      </w:r>
      <w:r w:rsidRPr="00D57D3F">
        <w:t xml:space="preserve"> </w:t>
      </w:r>
      <w:r w:rsidR="0063175D" w:rsidRPr="00D57D3F">
        <w:t xml:space="preserve">bylo </w:t>
      </w:r>
      <w:r w:rsidRPr="00D57D3F">
        <w:rPr>
          <w:b/>
        </w:rPr>
        <w:t>materiálové využití</w:t>
      </w:r>
      <w:r w:rsidRPr="00D57D3F">
        <w:t>,</w:t>
      </w:r>
      <w:r w:rsidR="00193875" w:rsidRPr="00D57D3F">
        <w:t xml:space="preserve"> </w:t>
      </w:r>
      <w:r w:rsidRPr="00D57D3F">
        <w:t xml:space="preserve">které tvořilo </w:t>
      </w:r>
      <w:r w:rsidR="0059731F" w:rsidRPr="00D57D3F">
        <w:t>75</w:t>
      </w:r>
      <w:r w:rsidR="00F4000F" w:rsidRPr="00D57D3F">
        <w:t xml:space="preserve"> %</w:t>
      </w:r>
      <w:r w:rsidR="00814FA8" w:rsidRPr="00D57D3F">
        <w:t xml:space="preserve"> v 201</w:t>
      </w:r>
      <w:r w:rsidR="002F5C5F" w:rsidRPr="00D57D3F">
        <w:t>9</w:t>
      </w:r>
      <w:r w:rsidR="00814FA8" w:rsidRPr="00D57D3F">
        <w:t xml:space="preserve"> a </w:t>
      </w:r>
      <w:r w:rsidR="00450946" w:rsidRPr="00D57D3F">
        <w:t>74</w:t>
      </w:r>
      <w:r w:rsidR="00644F56" w:rsidRPr="00D57D3F">
        <w:t xml:space="preserve"> </w:t>
      </w:r>
      <w:r w:rsidRPr="00D57D3F">
        <w:t xml:space="preserve">% </w:t>
      </w:r>
      <w:r w:rsidR="00814FA8" w:rsidRPr="00D57D3F">
        <w:t>v 20</w:t>
      </w:r>
      <w:r w:rsidR="002F5C5F" w:rsidRPr="00D57D3F">
        <w:t>20</w:t>
      </w:r>
      <w:r w:rsidR="00814FA8" w:rsidRPr="00D57D3F">
        <w:t xml:space="preserve"> </w:t>
      </w:r>
      <w:r w:rsidRPr="00D57D3F">
        <w:t xml:space="preserve">ze všech způsobů nakládání. Podíl energetického využití byl </w:t>
      </w:r>
      <w:r w:rsidR="00F4000F" w:rsidRPr="00D57D3F">
        <w:t>2,</w:t>
      </w:r>
      <w:r w:rsidR="00616B9B" w:rsidRPr="00D57D3F">
        <w:t>6</w:t>
      </w:r>
      <w:r w:rsidR="00814FA8" w:rsidRPr="00D57D3F">
        <w:t xml:space="preserve"> % v 201</w:t>
      </w:r>
      <w:r w:rsidR="002F5C5F" w:rsidRPr="00D57D3F">
        <w:t>9</w:t>
      </w:r>
      <w:r w:rsidR="00814FA8" w:rsidRPr="00D57D3F">
        <w:t xml:space="preserve"> a </w:t>
      </w:r>
      <w:r w:rsidR="00547B9B" w:rsidRPr="00D57D3F">
        <w:t xml:space="preserve">1 </w:t>
      </w:r>
      <w:r w:rsidRPr="00D57D3F">
        <w:t xml:space="preserve">% </w:t>
      </w:r>
      <w:r w:rsidR="00814FA8" w:rsidRPr="00D57D3F">
        <w:t>v 20</w:t>
      </w:r>
      <w:r w:rsidR="002F5C5F" w:rsidRPr="00D57D3F">
        <w:t>20</w:t>
      </w:r>
      <w:r w:rsidR="00814FA8" w:rsidRPr="00D57D3F">
        <w:t xml:space="preserve"> </w:t>
      </w:r>
      <w:r w:rsidRPr="00D57D3F">
        <w:t xml:space="preserve">a opětovného použití </w:t>
      </w:r>
      <w:r w:rsidR="00814FA8" w:rsidRPr="00D57D3F">
        <w:t xml:space="preserve">je stále poměrně malé </w:t>
      </w:r>
      <w:r w:rsidR="0059731F" w:rsidRPr="00D57D3F">
        <w:t xml:space="preserve">1 </w:t>
      </w:r>
      <w:r w:rsidR="00814FA8" w:rsidRPr="00D57D3F">
        <w:t>% v 201</w:t>
      </w:r>
      <w:r w:rsidR="002F5C5F" w:rsidRPr="00D57D3F">
        <w:t>9</w:t>
      </w:r>
      <w:r w:rsidR="00814FA8" w:rsidRPr="00D57D3F">
        <w:t xml:space="preserve"> a </w:t>
      </w:r>
      <w:r w:rsidR="002A3AF5" w:rsidRPr="00D57D3F">
        <w:t>1,</w:t>
      </w:r>
      <w:r w:rsidR="00547B9B" w:rsidRPr="00D57D3F">
        <w:t>4</w:t>
      </w:r>
      <w:r w:rsidRPr="00D57D3F">
        <w:t xml:space="preserve"> %</w:t>
      </w:r>
      <w:r w:rsidR="00814FA8" w:rsidRPr="00D57D3F">
        <w:t xml:space="preserve"> v 20</w:t>
      </w:r>
      <w:r w:rsidR="002F5C5F" w:rsidRPr="00D57D3F">
        <w:t>20</w:t>
      </w:r>
      <w:r w:rsidRPr="00D57D3F">
        <w:t>. Mezi lety 201</w:t>
      </w:r>
      <w:r w:rsidR="00F4000F" w:rsidRPr="00D57D3F">
        <w:t>9</w:t>
      </w:r>
      <w:r w:rsidR="00C84EFD" w:rsidRPr="00D57D3F">
        <w:t>-</w:t>
      </w:r>
      <w:r w:rsidRPr="00D57D3F">
        <w:t>20</w:t>
      </w:r>
      <w:r w:rsidR="00F4000F" w:rsidRPr="00D57D3F">
        <w:t>20</w:t>
      </w:r>
      <w:r w:rsidRPr="00D57D3F">
        <w:t xml:space="preserve"> </w:t>
      </w:r>
      <w:r w:rsidR="00F4000F" w:rsidRPr="00D57D3F">
        <w:t xml:space="preserve">zůstává </w:t>
      </w:r>
      <w:r w:rsidRPr="00D57D3F">
        <w:t xml:space="preserve">podíl materiálového využití </w:t>
      </w:r>
      <w:r w:rsidR="00F4000F" w:rsidRPr="00D57D3F">
        <w:lastRenderedPageBreak/>
        <w:t xml:space="preserve">stejný, ale </w:t>
      </w:r>
      <w:r w:rsidRPr="00D57D3F">
        <w:t xml:space="preserve">množství materiálově využitých elektrozařízení vzrostlo </w:t>
      </w:r>
      <w:r w:rsidR="00547B9B" w:rsidRPr="00D57D3F">
        <w:t xml:space="preserve">o 8,4 tis.t </w:t>
      </w:r>
      <w:r w:rsidRPr="00D57D3F">
        <w:t xml:space="preserve">na celkových </w:t>
      </w:r>
      <w:r w:rsidR="00547B9B" w:rsidRPr="00D57D3F">
        <w:t>84,2</w:t>
      </w:r>
      <w:r w:rsidR="008B70F5" w:rsidRPr="00D57D3F">
        <w:t> </w:t>
      </w:r>
      <w:r w:rsidRPr="00D57D3F">
        <w:t>tis. t</w:t>
      </w:r>
      <w:r w:rsidR="00C641F6" w:rsidRPr="00D57D3F">
        <w:t xml:space="preserve"> v roce 20</w:t>
      </w:r>
      <w:r w:rsidR="00F4000F" w:rsidRPr="00D57D3F">
        <w:t>20</w:t>
      </w:r>
      <w:r w:rsidR="00547B9B" w:rsidRPr="00D57D3F">
        <w:t xml:space="preserve"> ze 75,8 tis.t v 2019</w:t>
      </w:r>
      <w:r w:rsidRPr="00D57D3F">
        <w:t>.</w:t>
      </w:r>
      <w:r w:rsidRPr="00667FE8">
        <w:t xml:space="preserve"> </w:t>
      </w:r>
    </w:p>
    <w:p w:rsidR="00CA67CD" w:rsidRDefault="00CA67CD" w:rsidP="00757670">
      <w:pPr>
        <w:spacing w:after="120" w:line="276" w:lineRule="auto"/>
      </w:pPr>
    </w:p>
    <w:p w:rsidR="00FC07C4" w:rsidRPr="00D57D3F" w:rsidRDefault="008C12E6" w:rsidP="00502189">
      <w:pPr>
        <w:spacing w:after="120"/>
        <w:rPr>
          <w:b/>
          <w:bCs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>Přenosné baterie a akumulátory</w:t>
      </w:r>
    </w:p>
    <w:p w:rsidR="007D0060" w:rsidRPr="00D57D3F" w:rsidRDefault="008C12E6" w:rsidP="00502189">
      <w:pPr>
        <w:spacing w:line="276" w:lineRule="auto"/>
      </w:pPr>
      <w:r w:rsidRPr="00D57D3F">
        <w:t xml:space="preserve">U baterií rozlišujeme </w:t>
      </w:r>
      <w:r w:rsidR="00761A74" w:rsidRPr="00D57D3F">
        <w:t>jednotlivé skupiny</w:t>
      </w:r>
      <w:r w:rsidR="00881735" w:rsidRPr="00D57D3F">
        <w:t xml:space="preserve">: </w:t>
      </w:r>
      <w:r w:rsidR="00564883" w:rsidRPr="00D57D3F">
        <w:t>přenosné (</w:t>
      </w:r>
      <w:proofErr w:type="spellStart"/>
      <w:r w:rsidR="006146C1" w:rsidRPr="00D57D3F">
        <w:t>sk</w:t>
      </w:r>
      <w:proofErr w:type="spellEnd"/>
      <w:r w:rsidR="006146C1" w:rsidRPr="00D57D3F">
        <w:t xml:space="preserve">. 1), </w:t>
      </w:r>
      <w:r w:rsidR="00761A74" w:rsidRPr="00D57D3F">
        <w:t>průmyslové</w:t>
      </w:r>
      <w:r w:rsidR="00881735" w:rsidRPr="00D57D3F">
        <w:t xml:space="preserve"> </w:t>
      </w:r>
      <w:r w:rsidR="006146C1" w:rsidRPr="00D57D3F">
        <w:t>(</w:t>
      </w:r>
      <w:proofErr w:type="spellStart"/>
      <w:r w:rsidR="006146C1" w:rsidRPr="00D57D3F">
        <w:t>sk</w:t>
      </w:r>
      <w:proofErr w:type="spellEnd"/>
      <w:r w:rsidR="006146C1" w:rsidRPr="00D57D3F">
        <w:t>. 2) a automobilové (</w:t>
      </w:r>
      <w:proofErr w:type="spellStart"/>
      <w:r w:rsidR="006146C1" w:rsidRPr="00D57D3F">
        <w:t>sk</w:t>
      </w:r>
      <w:proofErr w:type="spellEnd"/>
      <w:r w:rsidR="006146C1" w:rsidRPr="00D57D3F">
        <w:t>. 3)</w:t>
      </w:r>
      <w:r w:rsidR="008162C1" w:rsidRPr="00D57D3F">
        <w:t xml:space="preserve"> </w:t>
      </w:r>
      <w:r w:rsidR="00761A74" w:rsidRPr="00D57D3F">
        <w:t>baterie a</w:t>
      </w:r>
      <w:r w:rsidR="00594108" w:rsidRPr="00D57D3F">
        <w:t> </w:t>
      </w:r>
      <w:r w:rsidR="00761A74" w:rsidRPr="00D57D3F">
        <w:t>akumulátory. Největší pozornost je věnována přenosným bateriím a</w:t>
      </w:r>
      <w:r w:rsidR="008B70F5" w:rsidRPr="00D57D3F">
        <w:t> </w:t>
      </w:r>
      <w:r w:rsidR="00761A74" w:rsidRPr="00D57D3F">
        <w:t>akumulátorům z</w:t>
      </w:r>
      <w:r w:rsidR="00594108" w:rsidRPr="00D57D3F">
        <w:t> </w:t>
      </w:r>
      <w:r w:rsidR="00761A74" w:rsidRPr="00D57D3F">
        <w:t xml:space="preserve">důvodu největšího rizika, </w:t>
      </w:r>
      <w:r w:rsidRPr="00D57D3F">
        <w:t xml:space="preserve">jelikož </w:t>
      </w:r>
      <w:r w:rsidR="00761A74" w:rsidRPr="00D57D3F">
        <w:t>s ohledem na jejich malé rozměry</w:t>
      </w:r>
      <w:r w:rsidRPr="00D57D3F">
        <w:t xml:space="preserve"> jsou často odkládány do</w:t>
      </w:r>
      <w:r w:rsidR="00032B0A" w:rsidRPr="00D57D3F">
        <w:t> </w:t>
      </w:r>
      <w:r w:rsidR="00761A74" w:rsidRPr="00D57D3F">
        <w:t>směsného komunálního odpadu.</w:t>
      </w:r>
      <w:r w:rsidR="00881735" w:rsidRPr="00D57D3F">
        <w:t xml:space="preserve"> </w:t>
      </w:r>
    </w:p>
    <w:p w:rsidR="007D0060" w:rsidRPr="00D57D3F" w:rsidRDefault="008C12E6" w:rsidP="00502189">
      <w:pPr>
        <w:spacing w:line="276" w:lineRule="auto"/>
        <w:rPr>
          <w:bCs/>
        </w:rPr>
      </w:pPr>
      <w:r w:rsidRPr="00D57D3F">
        <w:t>Mezi lety 201</w:t>
      </w:r>
      <w:r w:rsidR="007A79C2" w:rsidRPr="00D57D3F">
        <w:t>9</w:t>
      </w:r>
      <w:r w:rsidRPr="00D57D3F">
        <w:t xml:space="preserve"> a 20</w:t>
      </w:r>
      <w:r w:rsidR="007A79C2" w:rsidRPr="00D57D3F">
        <w:t>20</w:t>
      </w:r>
      <w:r w:rsidRPr="00D57D3F">
        <w:t xml:space="preserve"> se </w:t>
      </w:r>
      <w:r w:rsidR="007A79C2" w:rsidRPr="00D57D3F">
        <w:t xml:space="preserve">množství </w:t>
      </w:r>
      <w:r w:rsidR="007A79C2" w:rsidRPr="00D57D3F">
        <w:rPr>
          <w:bCs/>
        </w:rPr>
        <w:t xml:space="preserve">výrobků uvedených na trh a množství zpětně odebraných výrobků téměř nezměnilo. V roce 2019 bylo uvedeno na trh </w:t>
      </w:r>
      <w:r w:rsidRPr="00D57D3F">
        <w:rPr>
          <w:bCs/>
        </w:rPr>
        <w:t xml:space="preserve">37,8 </w:t>
      </w:r>
      <w:r w:rsidR="00C25F96" w:rsidRPr="00D57D3F">
        <w:rPr>
          <w:bCs/>
        </w:rPr>
        <w:t xml:space="preserve">tis. t baterií </w:t>
      </w:r>
      <w:r w:rsidR="008162C1" w:rsidRPr="00D57D3F">
        <w:rPr>
          <w:bCs/>
        </w:rPr>
        <w:t xml:space="preserve">a akumulátorů </w:t>
      </w:r>
      <w:r w:rsidR="00C25F96" w:rsidRPr="00D57D3F">
        <w:rPr>
          <w:bCs/>
        </w:rPr>
        <w:t>a</w:t>
      </w:r>
      <w:r w:rsidR="008B70F5" w:rsidRPr="00D57D3F">
        <w:rPr>
          <w:bCs/>
        </w:rPr>
        <w:t> </w:t>
      </w:r>
      <w:r w:rsidR="00C25F96" w:rsidRPr="00D57D3F">
        <w:rPr>
          <w:bCs/>
        </w:rPr>
        <w:t xml:space="preserve">zpětně odebráno </w:t>
      </w:r>
      <w:r w:rsidR="008947F5" w:rsidRPr="00D57D3F">
        <w:rPr>
          <w:bCs/>
        </w:rPr>
        <w:t>23,1</w:t>
      </w:r>
      <w:r w:rsidR="00C25F96" w:rsidRPr="00D57D3F">
        <w:rPr>
          <w:bCs/>
        </w:rPr>
        <w:t xml:space="preserve"> tis. t, v roce 2020 bylo na trh uvedeno 34,6 tis. t </w:t>
      </w:r>
      <w:r w:rsidR="006146C1" w:rsidRPr="00D57D3F">
        <w:rPr>
          <w:bCs/>
        </w:rPr>
        <w:t xml:space="preserve">baterií a akumulátorů </w:t>
      </w:r>
      <w:r w:rsidR="00C25F96" w:rsidRPr="00D57D3F">
        <w:rPr>
          <w:bCs/>
        </w:rPr>
        <w:t>a zpětně odebráno 21,1 tis. t baterií a akumulátorů.</w:t>
      </w:r>
    </w:p>
    <w:p w:rsidR="006146C1" w:rsidRPr="008C57BF" w:rsidRDefault="008C12E6" w:rsidP="00502189">
      <w:pPr>
        <w:spacing w:line="276" w:lineRule="auto"/>
      </w:pPr>
      <w:r w:rsidRPr="00D57D3F">
        <w:t xml:space="preserve">V roce 2019 bylo uvedeno na trh </w:t>
      </w:r>
      <w:r w:rsidR="008947F5" w:rsidRPr="00D57D3F">
        <w:t>4,3</w:t>
      </w:r>
      <w:r w:rsidRPr="00D57D3F">
        <w:t xml:space="preserve"> tis. t přenosných baterií a akumulátorů, zpětně odebráno bylo </w:t>
      </w:r>
      <w:r w:rsidR="008947F5" w:rsidRPr="00D57D3F">
        <w:t>2</w:t>
      </w:r>
      <w:r w:rsidRPr="00D57D3F">
        <w:t xml:space="preserve"> tis. t. V roce 2020 bylo uvedeno na trh 5 tis. t přenosných baterií a akum</w:t>
      </w:r>
      <w:r w:rsidRPr="00D57D3F">
        <w:t>ulátorů, zpětně odebráno bylo 2,</w:t>
      </w:r>
      <w:r w:rsidRPr="008C57BF">
        <w:t xml:space="preserve">2 tis. t (Graf </w:t>
      </w:r>
      <w:r w:rsidR="00D57D3F" w:rsidRPr="008C57BF">
        <w:t>5</w:t>
      </w:r>
      <w:r w:rsidRPr="008C57BF">
        <w:t>)</w:t>
      </w:r>
      <w:r w:rsidR="008C57BF">
        <w:t>.</w:t>
      </w:r>
    </w:p>
    <w:p w:rsidR="001754B1" w:rsidRPr="00D57D3F" w:rsidRDefault="008C12E6" w:rsidP="008947F5">
      <w:pPr>
        <w:spacing w:after="120" w:line="276" w:lineRule="auto"/>
      </w:pPr>
      <w:r w:rsidRPr="008C57BF">
        <w:rPr>
          <w:b/>
        </w:rPr>
        <w:t xml:space="preserve">Úroveň zpětného odběru </w:t>
      </w:r>
      <w:r w:rsidR="000F4942" w:rsidRPr="008C57BF">
        <w:rPr>
          <w:b/>
        </w:rPr>
        <w:t xml:space="preserve">a sběru </w:t>
      </w:r>
      <w:r w:rsidRPr="008C57BF">
        <w:t>přenosných</w:t>
      </w:r>
      <w:r w:rsidRPr="00D57D3F">
        <w:t xml:space="preserve"> baterií a akumulátorů v letech </w:t>
      </w:r>
      <w:r w:rsidR="004963FB" w:rsidRPr="00D57D3F">
        <w:t>2019</w:t>
      </w:r>
      <w:r w:rsidR="004963FB">
        <w:t>–2020</w:t>
      </w:r>
      <w:r w:rsidRPr="00D57D3F">
        <w:t xml:space="preserve"> </w:t>
      </w:r>
      <w:r w:rsidR="000F4942" w:rsidRPr="00D57D3F">
        <w:t>velmi</w:t>
      </w:r>
      <w:r w:rsidR="00C527A9" w:rsidRPr="00D57D3F">
        <w:t xml:space="preserve"> mírně </w:t>
      </w:r>
      <w:r w:rsidR="000F4942" w:rsidRPr="00D57D3F">
        <w:t>poklesla o 0,8 % z 49,4 % v 2019 na 48,6 % v 2020</w:t>
      </w:r>
      <w:r w:rsidRPr="00D57D3F">
        <w:t xml:space="preserve">. </w:t>
      </w:r>
      <w:r w:rsidR="000F4942" w:rsidRPr="00D57D3F">
        <w:t>Přesto je nad hranicí plnění cíle (45</w:t>
      </w:r>
      <w:r w:rsidR="008B70F5" w:rsidRPr="00D57D3F">
        <w:t> </w:t>
      </w:r>
      <w:r w:rsidR="000F4942" w:rsidRPr="00D57D3F">
        <w:t xml:space="preserve">%).  Je možno vyhodnotit, že povědomí </w:t>
      </w:r>
      <w:r w:rsidRPr="00D57D3F">
        <w:t>o povinnostech zpětného odběru a rozšiřování sběrné sítě pro jejich sběr</w:t>
      </w:r>
      <w:r w:rsidR="000F4942" w:rsidRPr="00D57D3F">
        <w:t xml:space="preserve"> je již vysoké, přesto by mělo být dále posilováno</w:t>
      </w:r>
      <w:r w:rsidRPr="00D57D3F">
        <w:t>. Stoupají i počty výrobců, kteří řádně plní zákonné povinnosti, zejména prostřednictvím kolekti</w:t>
      </w:r>
      <w:r w:rsidRPr="00D57D3F">
        <w:t xml:space="preserve">vních systémů. </w:t>
      </w:r>
      <w:r w:rsidR="00D61C43" w:rsidRPr="00D57D3F">
        <w:t xml:space="preserve">Jelikož meziroční rozdíl v procentuální úrovni sběru </w:t>
      </w:r>
      <w:r w:rsidR="00D61C43" w:rsidRPr="00D57D3F">
        <w:rPr>
          <w:rFonts w:cstheme="minorHAnsi"/>
        </w:rPr>
        <w:t>odpadních přenosných baterií byl pod 1 %,</w:t>
      </w:r>
      <w:r w:rsidR="00D61C43" w:rsidRPr="00D57D3F">
        <w:rPr>
          <w:rFonts w:cstheme="minorHAnsi"/>
          <w:b/>
        </w:rPr>
        <w:t xml:space="preserve"> </w:t>
      </w:r>
      <w:r w:rsidR="00D61C43" w:rsidRPr="00D57D3F">
        <w:rPr>
          <w:rFonts w:cstheme="minorHAnsi"/>
        </w:rPr>
        <w:t>tak lze hodnotit, že</w:t>
      </w:r>
      <w:r w:rsidR="00D61C43" w:rsidRPr="00D57D3F">
        <w:rPr>
          <w:rFonts w:cstheme="minorHAnsi"/>
          <w:b/>
        </w:rPr>
        <w:t xml:space="preserve"> c</w:t>
      </w:r>
      <w:r w:rsidRPr="00D57D3F">
        <w:rPr>
          <w:b/>
        </w:rPr>
        <w:t>íl</w:t>
      </w:r>
      <w:r w:rsidR="005E5BEE" w:rsidRPr="00D57D3F">
        <w:rPr>
          <w:b/>
        </w:rPr>
        <w:t xml:space="preserve"> </w:t>
      </w:r>
      <w:r w:rsidR="009876EF" w:rsidRPr="00D57D3F">
        <w:rPr>
          <w:b/>
        </w:rPr>
        <w:t xml:space="preserve">pro zvyšování úrovně </w:t>
      </w:r>
      <w:r w:rsidR="005E5BEE" w:rsidRPr="00D57D3F">
        <w:rPr>
          <w:rFonts w:cstheme="minorHAnsi"/>
          <w:b/>
        </w:rPr>
        <w:t>sběr</w:t>
      </w:r>
      <w:r w:rsidR="009876EF" w:rsidRPr="00D57D3F">
        <w:rPr>
          <w:rFonts w:cstheme="minorHAnsi"/>
          <w:b/>
        </w:rPr>
        <w:t>u</w:t>
      </w:r>
      <w:r w:rsidR="005E5BEE" w:rsidRPr="00D57D3F">
        <w:rPr>
          <w:rFonts w:cstheme="minorHAnsi"/>
          <w:b/>
        </w:rPr>
        <w:t xml:space="preserve"> odpadních přenosných baterií a</w:t>
      </w:r>
      <w:r w:rsidR="00D61C43" w:rsidRPr="00D57D3F">
        <w:rPr>
          <w:rFonts w:cstheme="minorHAnsi"/>
          <w:b/>
        </w:rPr>
        <w:t> </w:t>
      </w:r>
      <w:r w:rsidR="005E5BEE" w:rsidRPr="00D57D3F">
        <w:rPr>
          <w:rFonts w:cstheme="minorHAnsi"/>
          <w:b/>
        </w:rPr>
        <w:t>akumulátorů</w:t>
      </w:r>
      <w:r w:rsidRPr="00D57D3F">
        <w:rPr>
          <w:b/>
        </w:rPr>
        <w:t xml:space="preserve"> </w:t>
      </w:r>
      <w:r w:rsidR="009876EF" w:rsidRPr="00D57D3F">
        <w:rPr>
          <w:b/>
        </w:rPr>
        <w:t>byl plněn v roce 2019</w:t>
      </w:r>
      <w:r w:rsidR="00D61C43" w:rsidRPr="00D57D3F">
        <w:rPr>
          <w:b/>
        </w:rPr>
        <w:t xml:space="preserve"> i </w:t>
      </w:r>
      <w:r w:rsidR="009876EF" w:rsidRPr="00D57D3F">
        <w:rPr>
          <w:b/>
        </w:rPr>
        <w:t>v roce 2020</w:t>
      </w:r>
      <w:r w:rsidRPr="00D57D3F">
        <w:rPr>
          <w:b/>
        </w:rPr>
        <w:t>.</w:t>
      </w:r>
      <w:r w:rsidRPr="00D57D3F">
        <w:t xml:space="preserve"> </w:t>
      </w:r>
    </w:p>
    <w:p w:rsidR="00761A74" w:rsidRPr="00D57D3F" w:rsidRDefault="008C12E6" w:rsidP="008F7F89">
      <w:pPr>
        <w:spacing w:after="120" w:line="276" w:lineRule="auto"/>
      </w:pPr>
      <w:r w:rsidRPr="00D57D3F">
        <w:rPr>
          <w:b/>
        </w:rPr>
        <w:t>Cíl</w:t>
      </w:r>
      <w:r w:rsidRPr="00D57D3F">
        <w:t xml:space="preserve"> </w:t>
      </w:r>
      <w:r w:rsidR="00812D78" w:rsidRPr="00D57D3F">
        <w:t>pro přenosné baterie a</w:t>
      </w:r>
      <w:r w:rsidR="006C6E3F" w:rsidRPr="00D57D3F">
        <w:t> </w:t>
      </w:r>
      <w:r w:rsidR="00812D78" w:rsidRPr="00D57D3F">
        <w:t xml:space="preserve">akumulátory </w:t>
      </w:r>
      <w:r w:rsidR="00E85904" w:rsidRPr="00D57D3F">
        <w:t xml:space="preserve">pro </w:t>
      </w:r>
      <w:r w:rsidR="00812D78" w:rsidRPr="00D57D3F">
        <w:t xml:space="preserve">dosažení minimální </w:t>
      </w:r>
      <w:r w:rsidR="00812D78" w:rsidRPr="00D57D3F">
        <w:rPr>
          <w:b/>
        </w:rPr>
        <w:t>úrovně zpětného odběru a</w:t>
      </w:r>
      <w:r w:rsidR="00923225" w:rsidRPr="00D57D3F">
        <w:rPr>
          <w:b/>
        </w:rPr>
        <w:t> </w:t>
      </w:r>
      <w:r w:rsidR="00812D78" w:rsidRPr="00D57D3F">
        <w:rPr>
          <w:b/>
        </w:rPr>
        <w:t xml:space="preserve">sběru </w:t>
      </w:r>
      <w:r w:rsidR="00FF4834" w:rsidRPr="00D57D3F">
        <w:t xml:space="preserve">k roku </w:t>
      </w:r>
      <w:r w:rsidRPr="00D57D3F">
        <w:t>201</w:t>
      </w:r>
      <w:r w:rsidR="00A8154A" w:rsidRPr="00D57D3F">
        <w:t>6</w:t>
      </w:r>
      <w:r w:rsidRPr="00D57D3F">
        <w:t xml:space="preserve"> (</w:t>
      </w:r>
      <w:r w:rsidR="00812D78" w:rsidRPr="00D57D3F">
        <w:t>45</w:t>
      </w:r>
      <w:r w:rsidR="002D0FDC" w:rsidRPr="00D57D3F">
        <w:t xml:space="preserve"> </w:t>
      </w:r>
      <w:r w:rsidR="00812D78" w:rsidRPr="00D57D3F">
        <w:t>%)</w:t>
      </w:r>
      <w:r w:rsidRPr="00D57D3F">
        <w:t xml:space="preserve"> byl </w:t>
      </w:r>
      <w:r w:rsidR="00A8154A" w:rsidRPr="00D57D3F">
        <w:t>i v letech</w:t>
      </w:r>
      <w:r w:rsidR="00A8154A" w:rsidRPr="00D57D3F">
        <w:rPr>
          <w:b/>
        </w:rPr>
        <w:t xml:space="preserve"> 201</w:t>
      </w:r>
      <w:r w:rsidR="009876EF" w:rsidRPr="00D57D3F">
        <w:rPr>
          <w:b/>
        </w:rPr>
        <w:t>9</w:t>
      </w:r>
      <w:r w:rsidR="00A8154A" w:rsidRPr="00D57D3F">
        <w:rPr>
          <w:b/>
        </w:rPr>
        <w:t xml:space="preserve"> a 20</w:t>
      </w:r>
      <w:r w:rsidR="009876EF" w:rsidRPr="00D57D3F">
        <w:rPr>
          <w:b/>
        </w:rPr>
        <w:t>20</w:t>
      </w:r>
      <w:r w:rsidR="00A8154A" w:rsidRPr="00D57D3F">
        <w:rPr>
          <w:b/>
        </w:rPr>
        <w:t xml:space="preserve"> </w:t>
      </w:r>
      <w:r w:rsidR="00611A99" w:rsidRPr="00D57D3F">
        <w:rPr>
          <w:b/>
        </w:rPr>
        <w:t>splněn</w:t>
      </w:r>
      <w:r w:rsidRPr="00D57D3F">
        <w:t>.</w:t>
      </w:r>
      <w:r w:rsidR="00611A99" w:rsidRPr="00D57D3F">
        <w:t xml:space="preserve"> </w:t>
      </w:r>
    </w:p>
    <w:p w:rsidR="002D0FDC" w:rsidRPr="00D57D3F" w:rsidRDefault="008C12E6" w:rsidP="008F7F89">
      <w:pPr>
        <w:spacing w:after="120" w:line="276" w:lineRule="auto"/>
      </w:pPr>
      <w:r w:rsidRPr="00D57D3F">
        <w:t xml:space="preserve">Při </w:t>
      </w:r>
      <w:r w:rsidRPr="00D57D3F">
        <w:rPr>
          <w:b/>
        </w:rPr>
        <w:t>nakládání</w:t>
      </w:r>
      <w:r w:rsidRPr="00D57D3F">
        <w:t xml:space="preserve"> se zpětně odebranými </w:t>
      </w:r>
      <w:r w:rsidR="00795396" w:rsidRPr="00D57D3F">
        <w:rPr>
          <w:b/>
        </w:rPr>
        <w:t xml:space="preserve">přenosnými </w:t>
      </w:r>
      <w:r w:rsidRPr="00D57D3F">
        <w:rPr>
          <w:b/>
        </w:rPr>
        <w:t>bateriemi a akumulátory</w:t>
      </w:r>
      <w:r w:rsidRPr="00D57D3F">
        <w:t xml:space="preserve"> v roce 201</w:t>
      </w:r>
      <w:r w:rsidR="00DA2513" w:rsidRPr="00D57D3F">
        <w:t>9</w:t>
      </w:r>
      <w:r w:rsidRPr="00D57D3F">
        <w:t xml:space="preserve"> i 20</w:t>
      </w:r>
      <w:r w:rsidR="00DA2513" w:rsidRPr="00D57D3F">
        <w:t>20</w:t>
      </w:r>
      <w:r w:rsidRPr="00D57D3F">
        <w:t xml:space="preserve"> </w:t>
      </w:r>
      <w:r w:rsidR="00881735" w:rsidRPr="00D57D3F">
        <w:t xml:space="preserve">převažovalo </w:t>
      </w:r>
      <w:r w:rsidRPr="00D57D3F">
        <w:t xml:space="preserve">jejich materiálové využití </w:t>
      </w:r>
      <w:r w:rsidR="00072B92" w:rsidRPr="00D57D3F">
        <w:t xml:space="preserve">v ČR </w:t>
      </w:r>
      <w:r w:rsidRPr="00D57D3F">
        <w:t xml:space="preserve">s podílem </w:t>
      </w:r>
      <w:r w:rsidR="009D7051" w:rsidRPr="00D57D3F">
        <w:t>5</w:t>
      </w:r>
      <w:r w:rsidR="00881048" w:rsidRPr="00D57D3F">
        <w:t>1,</w:t>
      </w:r>
      <w:r w:rsidR="00072B92" w:rsidRPr="00D57D3F">
        <w:t>3</w:t>
      </w:r>
      <w:r w:rsidR="009D7051" w:rsidRPr="00D57D3F">
        <w:t xml:space="preserve"> </w:t>
      </w:r>
      <w:r w:rsidRPr="00D57D3F">
        <w:t xml:space="preserve">% v roce </w:t>
      </w:r>
      <w:r w:rsidR="00072B92" w:rsidRPr="00D57D3F">
        <w:t>2020</w:t>
      </w:r>
      <w:r w:rsidR="00FC12D6" w:rsidRPr="00D57D3F">
        <w:t xml:space="preserve">. </w:t>
      </w:r>
      <w:r w:rsidRPr="00D57D3F">
        <w:t>Meziročně došlo k</w:t>
      </w:r>
      <w:r w:rsidR="009D7051" w:rsidRPr="00D57D3F">
        <w:t xml:space="preserve"> snížení o </w:t>
      </w:r>
      <w:r w:rsidR="002E4429" w:rsidRPr="00D57D3F">
        <w:t>6</w:t>
      </w:r>
      <w:r w:rsidR="009D7051" w:rsidRPr="00D57D3F">
        <w:t>,</w:t>
      </w:r>
      <w:r w:rsidR="002E4429" w:rsidRPr="00D57D3F">
        <w:t>3</w:t>
      </w:r>
      <w:r w:rsidR="009D7051" w:rsidRPr="00D57D3F">
        <w:t xml:space="preserve"> %</w:t>
      </w:r>
      <w:r w:rsidR="005A5346" w:rsidRPr="00D57D3F">
        <w:t xml:space="preserve">, </w:t>
      </w:r>
      <w:r w:rsidRPr="00D57D3F">
        <w:t>v roce 201</w:t>
      </w:r>
      <w:r w:rsidR="00072B92" w:rsidRPr="00D57D3F">
        <w:t>9</w:t>
      </w:r>
      <w:r w:rsidRPr="00D57D3F">
        <w:t xml:space="preserve"> </w:t>
      </w:r>
      <w:r w:rsidR="00FC12D6" w:rsidRPr="00D57D3F">
        <w:t xml:space="preserve">to </w:t>
      </w:r>
      <w:r w:rsidRPr="00D57D3F">
        <w:t xml:space="preserve">bylo </w:t>
      </w:r>
      <w:r w:rsidR="002E4429" w:rsidRPr="00D57D3F">
        <w:t xml:space="preserve">57,6 </w:t>
      </w:r>
      <w:r w:rsidR="009D7051" w:rsidRPr="00D57D3F">
        <w:t>%</w:t>
      </w:r>
      <w:r w:rsidRPr="00D57D3F">
        <w:t xml:space="preserve">. Energeticky </w:t>
      </w:r>
      <w:r w:rsidR="00882BA9" w:rsidRPr="00D57D3F">
        <w:t xml:space="preserve">se </w:t>
      </w:r>
      <w:r w:rsidRPr="00D57D3F">
        <w:t xml:space="preserve">nevyužívají. </w:t>
      </w:r>
      <w:r w:rsidR="009D7051" w:rsidRPr="00D57D3F">
        <w:t>Vyváží se ke zpracování do zahraničí.</w:t>
      </w:r>
    </w:p>
    <w:p w:rsidR="00761A74" w:rsidRPr="00D57D3F" w:rsidRDefault="008C12E6" w:rsidP="008F7F89">
      <w:pPr>
        <w:spacing w:after="120" w:line="276" w:lineRule="auto"/>
      </w:pPr>
      <w:r w:rsidRPr="00D57D3F">
        <w:t>Recyklační procesy musí dosahovat dané recyklační účinnosti.</w:t>
      </w:r>
      <w:r w:rsidR="00611A99" w:rsidRPr="00D57D3F">
        <w:rPr>
          <w:bCs/>
        </w:rPr>
        <w:t xml:space="preserve"> V roce 20</w:t>
      </w:r>
      <w:r w:rsidR="00E459E3" w:rsidRPr="00D57D3F">
        <w:rPr>
          <w:bCs/>
        </w:rPr>
        <w:t>20</w:t>
      </w:r>
      <w:r w:rsidR="00611A99" w:rsidRPr="00D57D3F">
        <w:rPr>
          <w:bCs/>
        </w:rPr>
        <w:t xml:space="preserve"> bylo dosaženo vysoké míry </w:t>
      </w:r>
      <w:r w:rsidR="00611A99" w:rsidRPr="00D57D3F">
        <w:rPr>
          <w:b/>
          <w:bCs/>
        </w:rPr>
        <w:t>recyklační účinnosti</w:t>
      </w:r>
      <w:r w:rsidR="00611A99" w:rsidRPr="00D57D3F">
        <w:rPr>
          <w:bCs/>
        </w:rPr>
        <w:t xml:space="preserve"> u olověných akumulátorů</w:t>
      </w:r>
      <w:r w:rsidR="008D4EED" w:rsidRPr="00D57D3F">
        <w:rPr>
          <w:bCs/>
        </w:rPr>
        <w:t xml:space="preserve"> (</w:t>
      </w:r>
      <w:proofErr w:type="spellStart"/>
      <w:r w:rsidR="008D4EED" w:rsidRPr="00D57D3F">
        <w:rPr>
          <w:bCs/>
        </w:rPr>
        <w:t>Pb</w:t>
      </w:r>
      <w:proofErr w:type="spellEnd"/>
      <w:r w:rsidR="008D4EED" w:rsidRPr="00D57D3F">
        <w:rPr>
          <w:bCs/>
        </w:rPr>
        <w:t>)</w:t>
      </w:r>
      <w:r w:rsidR="00611A99" w:rsidRPr="00D57D3F">
        <w:rPr>
          <w:bCs/>
        </w:rPr>
        <w:t xml:space="preserve"> </w:t>
      </w:r>
      <w:r w:rsidR="003C2355" w:rsidRPr="00D57D3F">
        <w:rPr>
          <w:bCs/>
        </w:rPr>
        <w:t>8</w:t>
      </w:r>
      <w:r w:rsidR="003C11D6" w:rsidRPr="00D57D3F">
        <w:rPr>
          <w:bCs/>
        </w:rPr>
        <w:t>3</w:t>
      </w:r>
      <w:r w:rsidR="00611A99" w:rsidRPr="00D57D3F">
        <w:t>,</w:t>
      </w:r>
      <w:r w:rsidR="003C11D6" w:rsidRPr="00D57D3F">
        <w:t>9</w:t>
      </w:r>
      <w:r w:rsidR="00611A99" w:rsidRPr="00D57D3F">
        <w:t xml:space="preserve"> %, u </w:t>
      </w:r>
      <w:r w:rsidR="008D4EED" w:rsidRPr="00D57D3F">
        <w:t>nikl</w:t>
      </w:r>
      <w:r w:rsidR="008D4EED" w:rsidRPr="00D57D3F">
        <w:rPr>
          <w:rFonts w:ascii="MS Gothic" w:eastAsia="MS Gothic" w:hAnsi="MS Gothic" w:cs="MS Gothic" w:hint="eastAsia"/>
        </w:rPr>
        <w:t>‑</w:t>
      </w:r>
      <w:r w:rsidR="008D4EED" w:rsidRPr="00D57D3F">
        <w:t>kadmiových baterií (</w:t>
      </w:r>
      <w:r w:rsidR="00611A99" w:rsidRPr="00D57D3F">
        <w:t>Ni-Cd</w:t>
      </w:r>
      <w:r w:rsidR="008D4EED" w:rsidRPr="00D57D3F">
        <w:t>)</w:t>
      </w:r>
      <w:r w:rsidR="00611A99" w:rsidRPr="00D57D3F">
        <w:t xml:space="preserve"> baterií 9</w:t>
      </w:r>
      <w:r w:rsidR="003C11D6" w:rsidRPr="00D57D3F">
        <w:t>0,7</w:t>
      </w:r>
      <w:r w:rsidR="00611A99" w:rsidRPr="00D57D3F">
        <w:t xml:space="preserve"> %, u ostatních baterií a akumulátorů </w:t>
      </w:r>
      <w:r w:rsidR="006058FA" w:rsidRPr="00D57D3F">
        <w:t>7</w:t>
      </w:r>
      <w:r w:rsidR="003C11D6" w:rsidRPr="00D57D3F">
        <w:t>5,8</w:t>
      </w:r>
      <w:r w:rsidR="00611A99" w:rsidRPr="00D57D3F">
        <w:t xml:space="preserve"> %. </w:t>
      </w:r>
      <w:r w:rsidR="00E95E71" w:rsidRPr="00D57D3F">
        <w:t>V</w:t>
      </w:r>
      <w:r w:rsidR="001527CB" w:rsidRPr="00D57D3F">
        <w:t> </w:t>
      </w:r>
      <w:r w:rsidR="00E95E71" w:rsidRPr="00D57D3F">
        <w:t>případě olověných baterií byla v roce 201</w:t>
      </w:r>
      <w:r w:rsidR="00E459E3" w:rsidRPr="00D57D3F">
        <w:t>9</w:t>
      </w:r>
      <w:r w:rsidR="00E95E71" w:rsidRPr="00D57D3F">
        <w:t xml:space="preserve"> recyklační účinnost 8</w:t>
      </w:r>
      <w:r w:rsidR="00043F68" w:rsidRPr="00D57D3F">
        <w:t>4</w:t>
      </w:r>
      <w:r w:rsidR="00E95E71" w:rsidRPr="00D57D3F">
        <w:t>,6 %, u nikl</w:t>
      </w:r>
      <w:r w:rsidR="00E95E71" w:rsidRPr="00D57D3F">
        <w:rPr>
          <w:rFonts w:ascii="MS Gothic" w:eastAsia="MS Gothic" w:hAnsi="MS Gothic" w:cs="MS Gothic" w:hint="eastAsia"/>
        </w:rPr>
        <w:t>‑</w:t>
      </w:r>
      <w:r w:rsidR="00E95E71" w:rsidRPr="00D57D3F">
        <w:t>kadmiových baterií a</w:t>
      </w:r>
      <w:r w:rsidR="008D4EED" w:rsidRPr="00D57D3F">
        <w:t> </w:t>
      </w:r>
      <w:r w:rsidR="00E95E71" w:rsidRPr="00D57D3F">
        <w:t xml:space="preserve">akumulátorů </w:t>
      </w:r>
      <w:r w:rsidR="00E57EE8" w:rsidRPr="00D57D3F">
        <w:t>89,3</w:t>
      </w:r>
      <w:r w:rsidR="00E95E71" w:rsidRPr="00D57D3F">
        <w:t xml:space="preserve"> % a</w:t>
      </w:r>
      <w:r w:rsidR="00E95E71" w:rsidRPr="00D57D3F">
        <w:rPr>
          <w:rFonts w:hint="cs"/>
          <w:rtl/>
        </w:rPr>
        <w:t> </w:t>
      </w:r>
      <w:r w:rsidR="00E95E71" w:rsidRPr="00D57D3F">
        <w:t xml:space="preserve">u ostatních použitých baterií a akumulátorů </w:t>
      </w:r>
      <w:r w:rsidR="00AE0F1B" w:rsidRPr="00D57D3F">
        <w:t>6</w:t>
      </w:r>
      <w:r w:rsidR="00E57EE8" w:rsidRPr="00D57D3F">
        <w:t>4,6</w:t>
      </w:r>
      <w:r w:rsidR="00AE0F1B" w:rsidRPr="00D57D3F">
        <w:t xml:space="preserve"> %</w:t>
      </w:r>
      <w:r w:rsidR="00E95E71" w:rsidRPr="00D57D3F">
        <w:t xml:space="preserve">. </w:t>
      </w:r>
      <w:r w:rsidRPr="00D57D3F">
        <w:rPr>
          <w:b/>
        </w:rPr>
        <w:t xml:space="preserve">U všech skupin </w:t>
      </w:r>
      <w:r w:rsidR="000819A3" w:rsidRPr="00D57D3F">
        <w:rPr>
          <w:b/>
        </w:rPr>
        <w:t>baterií a</w:t>
      </w:r>
      <w:r w:rsidR="008B70F5" w:rsidRPr="00D57D3F">
        <w:rPr>
          <w:b/>
        </w:rPr>
        <w:t> </w:t>
      </w:r>
      <w:r w:rsidR="000819A3" w:rsidRPr="00D57D3F">
        <w:rPr>
          <w:b/>
        </w:rPr>
        <w:t xml:space="preserve">akumulátorů </w:t>
      </w:r>
      <w:r w:rsidRPr="00D57D3F">
        <w:rPr>
          <w:b/>
        </w:rPr>
        <w:t>byl</w:t>
      </w:r>
      <w:r w:rsidR="00214960" w:rsidRPr="00D57D3F">
        <w:rPr>
          <w:b/>
        </w:rPr>
        <w:t xml:space="preserve">y cíle </w:t>
      </w:r>
      <w:r w:rsidRPr="00D57D3F">
        <w:rPr>
          <w:b/>
        </w:rPr>
        <w:t xml:space="preserve">pro recyklační účinnost </w:t>
      </w:r>
      <w:r w:rsidR="001349B0" w:rsidRPr="00D57D3F">
        <w:t>(</w:t>
      </w:r>
      <w:proofErr w:type="spellStart"/>
      <w:r w:rsidR="001349B0" w:rsidRPr="00D57D3F">
        <w:t>Pb</w:t>
      </w:r>
      <w:proofErr w:type="spellEnd"/>
      <w:r w:rsidR="001349B0" w:rsidRPr="00D57D3F">
        <w:t xml:space="preserve"> 65 %, Ni</w:t>
      </w:r>
      <w:r w:rsidR="008D4EED" w:rsidRPr="00D57D3F">
        <w:t>-</w:t>
      </w:r>
      <w:r w:rsidR="001349B0" w:rsidRPr="00D57D3F">
        <w:t xml:space="preserve">Cd 75 %, ostatní 50 %) </w:t>
      </w:r>
      <w:r w:rsidR="005F346E" w:rsidRPr="00D57D3F">
        <w:t>v letech 201</w:t>
      </w:r>
      <w:r w:rsidR="00E459E3" w:rsidRPr="00D57D3F">
        <w:t>9</w:t>
      </w:r>
      <w:r w:rsidR="005F346E" w:rsidRPr="00D57D3F">
        <w:t xml:space="preserve"> a </w:t>
      </w:r>
      <w:r w:rsidR="000819A3" w:rsidRPr="00D57D3F">
        <w:t>20</w:t>
      </w:r>
      <w:r w:rsidR="00E459E3" w:rsidRPr="00D57D3F">
        <w:t>20</w:t>
      </w:r>
      <w:r w:rsidR="000819A3" w:rsidRPr="00D57D3F">
        <w:t xml:space="preserve"> </w:t>
      </w:r>
      <w:r w:rsidR="00214960" w:rsidRPr="00D57D3F">
        <w:rPr>
          <w:b/>
        </w:rPr>
        <w:t>splněny</w:t>
      </w:r>
      <w:r w:rsidR="005F346E" w:rsidRPr="00D57D3F">
        <w:rPr>
          <w:b/>
        </w:rPr>
        <w:t>.</w:t>
      </w:r>
    </w:p>
    <w:p w:rsidR="00BA0ADA" w:rsidRPr="0019007E" w:rsidRDefault="008C12E6" w:rsidP="00B81711">
      <w:pPr>
        <w:spacing w:after="120" w:line="276" w:lineRule="auto"/>
        <w:rPr>
          <w:bCs/>
        </w:rPr>
      </w:pPr>
      <w:r w:rsidRPr="00D57D3F">
        <w:rPr>
          <w:bCs/>
        </w:rPr>
        <w:lastRenderedPageBreak/>
        <w:t>V letech 201</w:t>
      </w:r>
      <w:r w:rsidRPr="00D57D3F">
        <w:rPr>
          <w:bCs/>
        </w:rPr>
        <w:t>9 a 2020 byl posílen dohled nad činností kolektivních systémů pro zpětný odběr přenosných baterií nebo akumulátorů</w:t>
      </w:r>
      <w:r w:rsidR="00B81711" w:rsidRPr="00D57D3F">
        <w:rPr>
          <w:bCs/>
        </w:rPr>
        <w:t xml:space="preserve"> a </w:t>
      </w:r>
      <w:r w:rsidRPr="00D57D3F">
        <w:rPr>
          <w:bCs/>
        </w:rPr>
        <w:t>sběr</w:t>
      </w:r>
      <w:r w:rsidR="00B81711" w:rsidRPr="00D57D3F">
        <w:rPr>
          <w:bCs/>
        </w:rPr>
        <w:t>em</w:t>
      </w:r>
      <w:r w:rsidRPr="00D57D3F">
        <w:rPr>
          <w:bCs/>
        </w:rPr>
        <w:t xml:space="preserve"> dat od výrobců průmyslových baterií a</w:t>
      </w:r>
      <w:r w:rsidR="00E4427D" w:rsidRPr="00D57D3F">
        <w:rPr>
          <w:bCs/>
        </w:rPr>
        <w:t> </w:t>
      </w:r>
      <w:r w:rsidRPr="00D57D3F">
        <w:rPr>
          <w:bCs/>
        </w:rPr>
        <w:t xml:space="preserve">akumulátorů a autobaterií. MŽP </w:t>
      </w:r>
      <w:r w:rsidR="005331EA" w:rsidRPr="00D57D3F">
        <w:rPr>
          <w:bCs/>
        </w:rPr>
        <w:t xml:space="preserve">metodicky vede povinné subjekty při plnění jejich </w:t>
      </w:r>
      <w:r w:rsidRPr="00D57D3F">
        <w:rPr>
          <w:bCs/>
        </w:rPr>
        <w:t>povinností</w:t>
      </w:r>
      <w:r w:rsidR="005331EA" w:rsidRPr="00D57D3F">
        <w:rPr>
          <w:bCs/>
        </w:rPr>
        <w:t>.</w:t>
      </w:r>
    </w:p>
    <w:p w:rsidR="0069549D" w:rsidRDefault="008C12E6" w:rsidP="003A671E">
      <w:pPr>
        <w:spacing w:line="276" w:lineRule="auto"/>
        <w:rPr>
          <w:bCs/>
        </w:rPr>
      </w:pPr>
      <w:r w:rsidRPr="00D57D3F">
        <w:rPr>
          <w:bCs/>
        </w:rPr>
        <w:t xml:space="preserve">V letech </w:t>
      </w:r>
      <w:r w:rsidR="004963FB" w:rsidRPr="00D57D3F">
        <w:rPr>
          <w:bCs/>
        </w:rPr>
        <w:t>2019</w:t>
      </w:r>
      <w:r w:rsidR="004963FB">
        <w:rPr>
          <w:bCs/>
        </w:rPr>
        <w:t>–2020</w:t>
      </w:r>
      <w:r w:rsidRPr="00D57D3F">
        <w:rPr>
          <w:bCs/>
        </w:rPr>
        <w:t xml:space="preserve"> se postupně v ČR začíná </w:t>
      </w:r>
      <w:r w:rsidR="007774A9">
        <w:rPr>
          <w:bCs/>
        </w:rPr>
        <w:t>rozšiřovat</w:t>
      </w:r>
      <w:r w:rsidR="007774A9" w:rsidRPr="00D57D3F">
        <w:rPr>
          <w:bCs/>
        </w:rPr>
        <w:t xml:space="preserve"> </w:t>
      </w:r>
      <w:proofErr w:type="spellStart"/>
      <w:r w:rsidRPr="00D57D3F">
        <w:rPr>
          <w:bCs/>
        </w:rPr>
        <w:t>elektromobilita</w:t>
      </w:r>
      <w:proofErr w:type="spellEnd"/>
      <w:r w:rsidRPr="00D57D3F">
        <w:rPr>
          <w:bCs/>
        </w:rPr>
        <w:t xml:space="preserve"> a v</w:t>
      </w:r>
      <w:r w:rsidR="003A671E" w:rsidRPr="00D57D3F">
        <w:rPr>
          <w:bCs/>
        </w:rPr>
        <w:t>zhledem k</w:t>
      </w:r>
      <w:r w:rsidRPr="00D57D3F">
        <w:rPr>
          <w:bCs/>
        </w:rPr>
        <w:t xml:space="preserve"> jejímu dalšímu </w:t>
      </w:r>
      <w:r w:rsidR="003A671E" w:rsidRPr="00D57D3F">
        <w:rPr>
          <w:bCs/>
        </w:rPr>
        <w:t>očekávanému rozvoji v ČR a EU vzniká zvýšená potřeba regulace pro baterie a</w:t>
      </w:r>
      <w:r w:rsidRPr="00D57D3F">
        <w:rPr>
          <w:bCs/>
        </w:rPr>
        <w:t> </w:t>
      </w:r>
      <w:r w:rsidR="003A671E" w:rsidRPr="00D57D3F">
        <w:rPr>
          <w:bCs/>
        </w:rPr>
        <w:t xml:space="preserve">akumulátory na bázi kovového lithia, které </w:t>
      </w:r>
      <w:r w:rsidR="00222D18" w:rsidRPr="00D57D3F">
        <w:rPr>
          <w:bCs/>
        </w:rPr>
        <w:t xml:space="preserve">pomalu </w:t>
      </w:r>
      <w:r w:rsidR="003A671E" w:rsidRPr="00D57D3F">
        <w:rPr>
          <w:bCs/>
        </w:rPr>
        <w:t xml:space="preserve">začínají na trhu </w:t>
      </w:r>
      <w:r w:rsidR="00222D18" w:rsidRPr="00D57D3F">
        <w:rPr>
          <w:bCs/>
        </w:rPr>
        <w:t>převládat.</w:t>
      </w:r>
      <w:r w:rsidR="003A671E" w:rsidRPr="00D57D3F">
        <w:rPr>
          <w:bCs/>
        </w:rPr>
        <w:t xml:space="preserve"> Lithiové baterie a akumulátory vykazují zcela odlišné vlastnosti než baterie a akumulátory s dosud běžným chemismem</w:t>
      </w:r>
      <w:r w:rsidR="007774A9">
        <w:rPr>
          <w:bCs/>
        </w:rPr>
        <w:t xml:space="preserve"> (riziko vzniku požáru)</w:t>
      </w:r>
      <w:r w:rsidR="003A671E" w:rsidRPr="00D57D3F">
        <w:rPr>
          <w:bCs/>
        </w:rPr>
        <w:t>. V ČR pro baterie a akumulátory na bázi lithia chybí recyklační kapacity</w:t>
      </w:r>
      <w:r w:rsidR="000D0EC4">
        <w:rPr>
          <w:bCs/>
        </w:rPr>
        <w:t>,</w:t>
      </w:r>
      <w:r w:rsidR="003A671E" w:rsidRPr="00D57D3F">
        <w:rPr>
          <w:bCs/>
        </w:rPr>
        <w:t xml:space="preserve"> a proto je </w:t>
      </w:r>
      <w:r w:rsidR="007774A9">
        <w:rPr>
          <w:bCs/>
        </w:rPr>
        <w:t xml:space="preserve">prozatím </w:t>
      </w:r>
      <w:r w:rsidR="003A671E" w:rsidRPr="00D57D3F">
        <w:rPr>
          <w:bCs/>
        </w:rPr>
        <w:t>jedinou alternativou jejich recyklace v</w:t>
      </w:r>
      <w:r w:rsidR="00B81711" w:rsidRPr="00D57D3F">
        <w:rPr>
          <w:bCs/>
        </w:rPr>
        <w:t> </w:t>
      </w:r>
      <w:r w:rsidR="003A671E" w:rsidRPr="00D57D3F">
        <w:rPr>
          <w:bCs/>
        </w:rPr>
        <w:t>zahraničí</w:t>
      </w:r>
      <w:r w:rsidR="00B81711" w:rsidRPr="00D57D3F">
        <w:rPr>
          <w:bCs/>
        </w:rPr>
        <w:t xml:space="preserve">, což </w:t>
      </w:r>
      <w:r w:rsidR="003A671E" w:rsidRPr="00D57D3F">
        <w:rPr>
          <w:bCs/>
        </w:rPr>
        <w:t xml:space="preserve">s sebou nese rizika spojená zejména </w:t>
      </w:r>
      <w:r w:rsidRPr="00D57D3F">
        <w:rPr>
          <w:bCs/>
        </w:rPr>
        <w:t xml:space="preserve">s jejich </w:t>
      </w:r>
      <w:r w:rsidR="003A671E" w:rsidRPr="00D57D3F">
        <w:rPr>
          <w:bCs/>
        </w:rPr>
        <w:t>přeprav</w:t>
      </w:r>
      <w:r w:rsidRPr="00D57D3F">
        <w:rPr>
          <w:bCs/>
        </w:rPr>
        <w:t xml:space="preserve">ou </w:t>
      </w:r>
      <w:r w:rsidR="003A671E" w:rsidRPr="00D57D3F">
        <w:rPr>
          <w:bCs/>
        </w:rPr>
        <w:t>a</w:t>
      </w:r>
      <w:r w:rsidRPr="00D57D3F">
        <w:rPr>
          <w:bCs/>
        </w:rPr>
        <w:t> </w:t>
      </w:r>
      <w:r w:rsidR="003A671E" w:rsidRPr="00D57D3F">
        <w:rPr>
          <w:bCs/>
        </w:rPr>
        <w:t>skladování</w:t>
      </w:r>
      <w:r w:rsidRPr="00D57D3F">
        <w:rPr>
          <w:bCs/>
        </w:rPr>
        <w:t>m</w:t>
      </w:r>
      <w:r w:rsidR="003A671E" w:rsidRPr="00D57D3F">
        <w:rPr>
          <w:bCs/>
        </w:rPr>
        <w:t>.</w:t>
      </w:r>
      <w:r w:rsidRPr="00D57D3F">
        <w:rPr>
          <w:bCs/>
        </w:rPr>
        <w:t xml:space="preserve"> V</w:t>
      </w:r>
      <w:r w:rsidR="00222D18" w:rsidRPr="00D57D3F">
        <w:rPr>
          <w:bCs/>
        </w:rPr>
        <w:t xml:space="preserve"> dalším </w:t>
      </w:r>
      <w:r w:rsidRPr="00D57D3F">
        <w:rPr>
          <w:bCs/>
        </w:rPr>
        <w:t xml:space="preserve">období </w:t>
      </w:r>
      <w:r w:rsidR="00222D18" w:rsidRPr="00D57D3F">
        <w:rPr>
          <w:bCs/>
        </w:rPr>
        <w:t xml:space="preserve">je </w:t>
      </w:r>
      <w:r w:rsidRPr="00D57D3F">
        <w:rPr>
          <w:bCs/>
        </w:rPr>
        <w:t xml:space="preserve">třeba se touto otázkou </w:t>
      </w:r>
      <w:r w:rsidR="00222D18" w:rsidRPr="00D57D3F">
        <w:rPr>
          <w:bCs/>
        </w:rPr>
        <w:t xml:space="preserve">dále </w:t>
      </w:r>
      <w:r w:rsidRPr="00D57D3F">
        <w:rPr>
          <w:bCs/>
        </w:rPr>
        <w:t>zabývat</w:t>
      </w:r>
      <w:r w:rsidR="007774A9">
        <w:rPr>
          <w:bCs/>
        </w:rPr>
        <w:t xml:space="preserve"> a recyklační kapacity budovat v ČR</w:t>
      </w:r>
      <w:r w:rsidRPr="00D57D3F">
        <w:rPr>
          <w:bCs/>
        </w:rPr>
        <w:t>.</w:t>
      </w:r>
      <w:r>
        <w:rPr>
          <w:bCs/>
        </w:rPr>
        <w:t xml:space="preserve"> </w:t>
      </w:r>
    </w:p>
    <w:p w:rsidR="00116E70" w:rsidRDefault="00116E70" w:rsidP="003A671E">
      <w:pPr>
        <w:spacing w:line="276" w:lineRule="auto"/>
        <w:rPr>
          <w:bCs/>
        </w:rPr>
      </w:pPr>
    </w:p>
    <w:p w:rsidR="00116E70" w:rsidRDefault="00116E70" w:rsidP="003A671E">
      <w:pPr>
        <w:spacing w:line="276" w:lineRule="auto"/>
        <w:rPr>
          <w:bCs/>
        </w:rPr>
      </w:pPr>
    </w:p>
    <w:p w:rsidR="00D429CC" w:rsidRPr="00502F51" w:rsidRDefault="008C12E6" w:rsidP="00CD3F60">
      <w:pPr>
        <w:spacing w:after="120"/>
        <w:rPr>
          <w:b/>
          <w:bCs/>
          <w:sz w:val="26"/>
          <w:szCs w:val="26"/>
          <w:u w:val="single"/>
        </w:rPr>
      </w:pPr>
      <w:r w:rsidRPr="00502F51">
        <w:rPr>
          <w:b/>
          <w:bCs/>
          <w:sz w:val="26"/>
          <w:szCs w:val="26"/>
          <w:u w:val="single"/>
        </w:rPr>
        <w:t>Pneumatiky</w:t>
      </w:r>
    </w:p>
    <w:p w:rsidR="00601FA2" w:rsidRPr="00D57D3F" w:rsidRDefault="008C12E6" w:rsidP="00601FA2">
      <w:pPr>
        <w:spacing w:line="276" w:lineRule="auto"/>
      </w:pPr>
      <w:r w:rsidRPr="00D57D3F">
        <w:t>V</w:t>
      </w:r>
      <w:r w:rsidR="00222D18" w:rsidRPr="00D57D3F">
        <w:t xml:space="preserve"> letech </w:t>
      </w:r>
      <w:r w:rsidR="004963FB" w:rsidRPr="00D57D3F">
        <w:t>2019–2020</w:t>
      </w:r>
      <w:r w:rsidR="00222D18" w:rsidRPr="00D57D3F">
        <w:t xml:space="preserve"> stále </w:t>
      </w:r>
      <w:r w:rsidR="0082613D" w:rsidRPr="00D57D3F">
        <w:t xml:space="preserve">panovala </w:t>
      </w:r>
      <w:r w:rsidRPr="00D57D3F">
        <w:t xml:space="preserve">mezi výrobci/dovozci pneumatik, kteří plní své povinnosti individuálně, tedy samostatně, organizačně a technicky na vlastní náklady, a kolektivním systémem významná nerovnováha. Tato nerovnováha </w:t>
      </w:r>
      <w:r w:rsidR="006D4676" w:rsidRPr="00D57D3F">
        <w:t>byla zejména ještě v roce 2019</w:t>
      </w:r>
      <w:r w:rsidRPr="00D57D3F">
        <w:t xml:space="preserve"> způsobena především legislativ</w:t>
      </w:r>
      <w:r w:rsidRPr="00D57D3F">
        <w:t>ně nastavenou nízkou minimální úrovní zpětného odběru. Většina individuálně plnících povinných osob zpětně odebere stanoven</w:t>
      </w:r>
      <w:r w:rsidR="001A3E81" w:rsidRPr="00D57D3F">
        <w:t xml:space="preserve">á procenta </w:t>
      </w:r>
      <w:r w:rsidRPr="00D57D3F">
        <w:t>pneumatik z množství uvedeného v daném roce na trh a dále již z důvodu minimalizace nákladů spojených se zpětným odběrem p</w:t>
      </w:r>
      <w:r w:rsidRPr="00D57D3F">
        <w:t xml:space="preserve">neumatiky </w:t>
      </w:r>
      <w:r w:rsidR="00337CFE" w:rsidRPr="00D57D3F">
        <w:t>n</w:t>
      </w:r>
      <w:r w:rsidR="001A3E81" w:rsidRPr="00D57D3F">
        <w:t>e</w:t>
      </w:r>
      <w:r w:rsidR="00337CFE" w:rsidRPr="00D57D3F">
        <w:t>přebírají</w:t>
      </w:r>
      <w:r w:rsidRPr="00D57D3F">
        <w:t>. Míra zpětného odběru kolektivní</w:t>
      </w:r>
      <w:r w:rsidR="001A3E81" w:rsidRPr="00D57D3F">
        <w:t xml:space="preserve">m </w:t>
      </w:r>
      <w:r w:rsidRPr="00D57D3F">
        <w:t>systém</w:t>
      </w:r>
      <w:r w:rsidR="001A3E81" w:rsidRPr="00D57D3F">
        <w:t>em</w:t>
      </w:r>
      <w:r w:rsidRPr="00D57D3F">
        <w:t xml:space="preserve"> naopak v roce 20</w:t>
      </w:r>
      <w:r w:rsidR="006D4676" w:rsidRPr="00D57D3F">
        <w:t>19</w:t>
      </w:r>
      <w:r w:rsidRPr="00D57D3F">
        <w:t xml:space="preserve"> dosáhla téměř 90 % míry zpětného odběru. </w:t>
      </w:r>
      <w:r w:rsidR="006D4676" w:rsidRPr="00D57D3F">
        <w:t xml:space="preserve">V roce 2020 se již situace </w:t>
      </w:r>
      <w:r w:rsidR="00A91529" w:rsidRPr="00D57D3F">
        <w:t xml:space="preserve">mírně </w:t>
      </w:r>
      <w:r w:rsidR="006D4676" w:rsidRPr="00D57D3F">
        <w:t xml:space="preserve">zlepšila díky stanovenému vyššímu cíli zpětného odběru. </w:t>
      </w:r>
    </w:p>
    <w:p w:rsidR="00B56ECD" w:rsidRPr="00D57D3F" w:rsidRDefault="008C12E6" w:rsidP="00B56ECD">
      <w:pPr>
        <w:spacing w:line="276" w:lineRule="auto"/>
      </w:pPr>
      <w:r w:rsidRPr="00D57D3F">
        <w:rPr>
          <w:b/>
        </w:rPr>
        <w:t>Množství pneumatik</w:t>
      </w:r>
      <w:r w:rsidRPr="00D57D3F">
        <w:t xml:space="preserve"> uvedených na trh a mno</w:t>
      </w:r>
      <w:r w:rsidRPr="00D57D3F">
        <w:t xml:space="preserve">žství zpětně odebraných pneumatik je stále do jisté míry podhodnoceno, přestože se již počet povinných osob zapsaných do Seznamu významně zvedl. </w:t>
      </w:r>
    </w:p>
    <w:p w:rsidR="00B56ECD" w:rsidRPr="00D57D3F" w:rsidRDefault="008C12E6" w:rsidP="00B56ECD">
      <w:pPr>
        <w:spacing w:line="276" w:lineRule="auto"/>
      </w:pPr>
      <w:r w:rsidRPr="00D57D3F">
        <w:t xml:space="preserve">V letech </w:t>
      </w:r>
      <w:r w:rsidR="004963FB" w:rsidRPr="00D57D3F">
        <w:t>2019–2020</w:t>
      </w:r>
      <w:r w:rsidRPr="00D57D3F">
        <w:t xml:space="preserve"> byla připravována nová právní úprava pro výrobky s ukončenou životností. </w:t>
      </w:r>
    </w:p>
    <w:p w:rsidR="0041726F" w:rsidRPr="001A3E81" w:rsidRDefault="008C12E6" w:rsidP="00F12E8F">
      <w:pPr>
        <w:spacing w:after="120" w:line="276" w:lineRule="auto"/>
        <w:rPr>
          <w:highlight w:val="cyan"/>
        </w:rPr>
      </w:pPr>
      <w:r w:rsidRPr="00D57D3F">
        <w:t>M</w:t>
      </w:r>
      <w:r w:rsidR="00B55711" w:rsidRPr="00D57D3F">
        <w:t>nožství pneumatik, na které se vztahuje</w:t>
      </w:r>
      <w:r w:rsidR="000241EB" w:rsidRPr="00D57D3F">
        <w:t xml:space="preserve"> </w:t>
      </w:r>
      <w:r w:rsidR="00B55711" w:rsidRPr="00D57D3F">
        <w:t>zpětný odbě</w:t>
      </w:r>
      <w:r w:rsidRPr="00D57D3F">
        <w:t>r, dosahovalo 89,4</w:t>
      </w:r>
      <w:r w:rsidR="00B92289" w:rsidRPr="00D57D3F">
        <w:t> </w:t>
      </w:r>
      <w:r w:rsidR="001F5C70" w:rsidRPr="00D57D3F">
        <w:t>tis.</w:t>
      </w:r>
      <w:r w:rsidR="00B92289" w:rsidRPr="00D57D3F">
        <w:t> </w:t>
      </w:r>
      <w:r w:rsidR="001F5C70" w:rsidRPr="00D57D3F">
        <w:t>t</w:t>
      </w:r>
      <w:r w:rsidR="005D4404" w:rsidRPr="00D57D3F">
        <w:t xml:space="preserve"> v roce 20</w:t>
      </w:r>
      <w:r w:rsidR="00337CFE" w:rsidRPr="00D57D3F">
        <w:t>20</w:t>
      </w:r>
      <w:r w:rsidR="005D4404" w:rsidRPr="00D57D3F">
        <w:t>, v roce 201</w:t>
      </w:r>
      <w:r w:rsidR="00337CFE" w:rsidRPr="00D57D3F">
        <w:t>9</w:t>
      </w:r>
      <w:r w:rsidR="005D4404" w:rsidRPr="00D57D3F">
        <w:t xml:space="preserve"> </w:t>
      </w:r>
      <w:r w:rsidRPr="00D57D3F">
        <w:t xml:space="preserve">to </w:t>
      </w:r>
      <w:r w:rsidR="005D4404" w:rsidRPr="00D57D3F">
        <w:t xml:space="preserve">bylo </w:t>
      </w:r>
      <w:r w:rsidRPr="00D57D3F">
        <w:t>94,7</w:t>
      </w:r>
      <w:r w:rsidR="005D4404" w:rsidRPr="00D57D3F">
        <w:t xml:space="preserve"> tis.</w:t>
      </w:r>
      <w:r w:rsidR="00B92289" w:rsidRPr="00D57D3F">
        <w:t xml:space="preserve"> </w:t>
      </w:r>
      <w:r w:rsidR="005D4404" w:rsidRPr="00D57D3F">
        <w:t>t.</w:t>
      </w:r>
      <w:r w:rsidR="00CD3F60" w:rsidRPr="001A3E81">
        <w:rPr>
          <w:highlight w:val="yellow"/>
        </w:rPr>
        <w:t xml:space="preserve"> </w:t>
      </w:r>
    </w:p>
    <w:p w:rsidR="001F5C70" w:rsidRPr="00D57D3F" w:rsidRDefault="008C12E6" w:rsidP="00F12E8F">
      <w:pPr>
        <w:spacing w:after="120" w:line="276" w:lineRule="auto"/>
      </w:pPr>
      <w:r w:rsidRPr="00D57D3F">
        <w:t>V roce 20</w:t>
      </w:r>
      <w:r w:rsidR="00337CFE" w:rsidRPr="00D57D3F">
        <w:t>20</w:t>
      </w:r>
      <w:r w:rsidRPr="00D57D3F">
        <w:t xml:space="preserve"> došlo k meziročnímu zvýšení množství </w:t>
      </w:r>
      <w:r w:rsidRPr="00D57D3F">
        <w:rPr>
          <w:b/>
        </w:rPr>
        <w:t>zpětně odebraných pneumatik</w:t>
      </w:r>
      <w:r w:rsidRPr="00D57D3F">
        <w:t xml:space="preserve"> o </w:t>
      </w:r>
      <w:r w:rsidR="001E6BBE" w:rsidRPr="00D57D3F">
        <w:t>4,8</w:t>
      </w:r>
      <w:r w:rsidRPr="00D57D3F">
        <w:t xml:space="preserve"> % na hodnotu </w:t>
      </w:r>
      <w:r w:rsidR="001A3E81" w:rsidRPr="00D57D3F">
        <w:t>73,6</w:t>
      </w:r>
      <w:r w:rsidRPr="00D57D3F">
        <w:t xml:space="preserve"> tis. t</w:t>
      </w:r>
      <w:r w:rsidR="005D4404" w:rsidRPr="00D57D3F">
        <w:t xml:space="preserve"> v roce 20</w:t>
      </w:r>
      <w:r w:rsidR="00337CFE" w:rsidRPr="00D57D3F">
        <w:t>20</w:t>
      </w:r>
      <w:r w:rsidR="005D4404" w:rsidRPr="00D57D3F">
        <w:t>, v roce 201</w:t>
      </w:r>
      <w:r w:rsidR="00337CFE" w:rsidRPr="00D57D3F">
        <w:t>9</w:t>
      </w:r>
      <w:r w:rsidR="005D4404" w:rsidRPr="00D57D3F">
        <w:t xml:space="preserve"> </w:t>
      </w:r>
      <w:r w:rsidR="001A3E81" w:rsidRPr="00D57D3F">
        <w:t>to bylo 70,2</w:t>
      </w:r>
      <w:r w:rsidR="005D4404" w:rsidRPr="00D57D3F">
        <w:t xml:space="preserve"> tis</w:t>
      </w:r>
      <w:r w:rsidR="005D4404" w:rsidRPr="008C57BF">
        <w:t>.</w:t>
      </w:r>
      <w:r w:rsidR="00B92289" w:rsidRPr="008C57BF">
        <w:t xml:space="preserve"> </w:t>
      </w:r>
      <w:r w:rsidR="005D4404" w:rsidRPr="008C57BF">
        <w:t xml:space="preserve">t </w:t>
      </w:r>
      <w:r w:rsidRPr="008C57BF">
        <w:t xml:space="preserve">(Graf </w:t>
      </w:r>
      <w:r w:rsidR="00D57D3F" w:rsidRPr="008C57BF">
        <w:t>5</w:t>
      </w:r>
      <w:r w:rsidRPr="008C57BF">
        <w:t>).</w:t>
      </w:r>
      <w:r w:rsidR="000241EB" w:rsidRPr="008C57BF">
        <w:t xml:space="preserve"> </w:t>
      </w:r>
      <w:r w:rsidRPr="008C57BF">
        <w:rPr>
          <w:b/>
        </w:rPr>
        <w:t>Úroveň</w:t>
      </w:r>
      <w:r w:rsidRPr="00D57D3F">
        <w:rPr>
          <w:b/>
        </w:rPr>
        <w:t xml:space="preserve"> zpětného odběru pneumatik</w:t>
      </w:r>
      <w:r w:rsidRPr="00D57D3F">
        <w:t xml:space="preserve"> meziročně</w:t>
      </w:r>
      <w:r w:rsidR="00471211" w:rsidRPr="00D57D3F">
        <w:t xml:space="preserve"> </w:t>
      </w:r>
      <w:r w:rsidRPr="00D57D3F">
        <w:t>201</w:t>
      </w:r>
      <w:r w:rsidR="00337CFE" w:rsidRPr="00D57D3F">
        <w:t>9</w:t>
      </w:r>
      <w:r w:rsidR="00594108" w:rsidRPr="00D57D3F">
        <w:t>-</w:t>
      </w:r>
      <w:r w:rsidRPr="00D57D3F">
        <w:t>20</w:t>
      </w:r>
      <w:r w:rsidR="00337CFE" w:rsidRPr="00D57D3F">
        <w:t>20</w:t>
      </w:r>
      <w:r w:rsidRPr="00D57D3F">
        <w:t xml:space="preserve"> </w:t>
      </w:r>
      <w:r w:rsidR="00F43CF2" w:rsidRPr="00D57D3F">
        <w:t xml:space="preserve">vzrostla o </w:t>
      </w:r>
      <w:r w:rsidR="001A3E81" w:rsidRPr="00D57D3F">
        <w:t>8,2</w:t>
      </w:r>
      <w:r w:rsidR="00F43CF2" w:rsidRPr="00D57D3F">
        <w:t xml:space="preserve"> % </w:t>
      </w:r>
      <w:r w:rsidRPr="00D57D3F">
        <w:t>z</w:t>
      </w:r>
      <w:r w:rsidR="001A3E81" w:rsidRPr="00D57D3F">
        <w:t> 74,1</w:t>
      </w:r>
      <w:r w:rsidR="0041726F" w:rsidRPr="00D57D3F">
        <w:t xml:space="preserve"> % v roce 201</w:t>
      </w:r>
      <w:r w:rsidR="001A3E81" w:rsidRPr="00D57D3F">
        <w:t>9</w:t>
      </w:r>
      <w:r w:rsidR="0041726F" w:rsidRPr="00D57D3F">
        <w:t xml:space="preserve"> na </w:t>
      </w:r>
      <w:r w:rsidR="001A3E81" w:rsidRPr="00D57D3F">
        <w:t>82,3</w:t>
      </w:r>
      <w:r w:rsidRPr="00D57D3F">
        <w:t xml:space="preserve"> %</w:t>
      </w:r>
      <w:r w:rsidR="009A6DC5" w:rsidRPr="00D57D3F">
        <w:t xml:space="preserve"> v roce 20</w:t>
      </w:r>
      <w:r w:rsidR="00337CFE" w:rsidRPr="00D57D3F">
        <w:t>20</w:t>
      </w:r>
      <w:r w:rsidRPr="00D57D3F">
        <w:t xml:space="preserve">. </w:t>
      </w:r>
      <w:r w:rsidR="009A6DC5" w:rsidRPr="00D57D3F">
        <w:rPr>
          <w:b/>
        </w:rPr>
        <w:t>C</w:t>
      </w:r>
      <w:r w:rsidR="00C90156" w:rsidRPr="00D57D3F">
        <w:rPr>
          <w:b/>
        </w:rPr>
        <w:t xml:space="preserve">íl </w:t>
      </w:r>
      <w:r w:rsidR="004B0018" w:rsidRPr="00D57D3F">
        <w:rPr>
          <w:b/>
        </w:rPr>
        <w:t xml:space="preserve">sběru </w:t>
      </w:r>
      <w:r w:rsidR="004B0018" w:rsidRPr="00D57D3F">
        <w:t xml:space="preserve">pneumatik pro rok </w:t>
      </w:r>
      <w:r w:rsidR="004B0018" w:rsidRPr="00D57D3F">
        <w:rPr>
          <w:b/>
        </w:rPr>
        <w:t>2019</w:t>
      </w:r>
      <w:r w:rsidR="006D4676" w:rsidRPr="00D57D3F">
        <w:t xml:space="preserve"> </w:t>
      </w:r>
      <w:r w:rsidR="009A6DC5" w:rsidRPr="00D57D3F">
        <w:t>(</w:t>
      </w:r>
      <w:r w:rsidR="00C90156" w:rsidRPr="00D57D3F">
        <w:t>35 %</w:t>
      </w:r>
      <w:r w:rsidR="009A6DC5" w:rsidRPr="00D57D3F">
        <w:t>)</w:t>
      </w:r>
      <w:r w:rsidR="00C90156" w:rsidRPr="00D57D3F">
        <w:t xml:space="preserve"> byl tedy výrazně překročen</w:t>
      </w:r>
      <w:r w:rsidR="009A6DC5" w:rsidRPr="00D57D3F">
        <w:rPr>
          <w:b/>
        </w:rPr>
        <w:t xml:space="preserve">, cíl </w:t>
      </w:r>
      <w:r w:rsidR="006D4676" w:rsidRPr="00D57D3F">
        <w:rPr>
          <w:b/>
        </w:rPr>
        <w:t xml:space="preserve">byl </w:t>
      </w:r>
      <w:r w:rsidR="009A6DC5" w:rsidRPr="00D57D3F">
        <w:rPr>
          <w:b/>
        </w:rPr>
        <w:t>splněn</w:t>
      </w:r>
      <w:r w:rsidRPr="00D57D3F">
        <w:t>.</w:t>
      </w:r>
      <w:r w:rsidR="006D4676" w:rsidRPr="00D57D3F">
        <w:t xml:space="preserve"> </w:t>
      </w:r>
      <w:r w:rsidR="006D4676" w:rsidRPr="00D57D3F">
        <w:rPr>
          <w:b/>
        </w:rPr>
        <w:t>Cíl sběru</w:t>
      </w:r>
      <w:r w:rsidR="006D4676" w:rsidRPr="00D57D3F">
        <w:t xml:space="preserve"> pneumatik pro </w:t>
      </w:r>
      <w:r w:rsidR="006D4676" w:rsidRPr="00D57D3F">
        <w:rPr>
          <w:b/>
        </w:rPr>
        <w:t>2020</w:t>
      </w:r>
      <w:r w:rsidR="006D4676" w:rsidRPr="00D57D3F">
        <w:t xml:space="preserve"> (80 %) </w:t>
      </w:r>
      <w:r w:rsidR="006D4676" w:rsidRPr="00D57D3F">
        <w:rPr>
          <w:b/>
        </w:rPr>
        <w:t>byl splněn</w:t>
      </w:r>
      <w:r w:rsidR="006D4676" w:rsidRPr="00D57D3F">
        <w:t xml:space="preserve">. </w:t>
      </w:r>
    </w:p>
    <w:p w:rsidR="001F5C70" w:rsidRPr="00D57D3F" w:rsidRDefault="008C12E6" w:rsidP="00F12E8F">
      <w:pPr>
        <w:spacing w:after="120" w:line="276" w:lineRule="auto"/>
      </w:pPr>
      <w:r w:rsidRPr="00D57D3F">
        <w:t xml:space="preserve">U pneumatik je převažujícím způsobem nakládání jejich </w:t>
      </w:r>
      <w:r w:rsidR="009A6DC5" w:rsidRPr="00D57D3F">
        <w:rPr>
          <w:b/>
        </w:rPr>
        <w:t>materiálové využití</w:t>
      </w:r>
      <w:r w:rsidR="009A6DC5" w:rsidRPr="00D57D3F">
        <w:t>. V roce 201</w:t>
      </w:r>
      <w:r w:rsidR="00337CFE" w:rsidRPr="00D57D3F">
        <w:t>9</w:t>
      </w:r>
      <w:r w:rsidR="009A6DC5" w:rsidRPr="00D57D3F">
        <w:t xml:space="preserve"> bylo </w:t>
      </w:r>
      <w:r w:rsidR="005C74FB" w:rsidRPr="00D57D3F">
        <w:t>50,7</w:t>
      </w:r>
      <w:r w:rsidR="009A6DC5" w:rsidRPr="00D57D3F">
        <w:t xml:space="preserve"> %, meziročně vzrostlo o 1</w:t>
      </w:r>
      <w:r w:rsidR="00480693" w:rsidRPr="00D57D3F">
        <w:t>1</w:t>
      </w:r>
      <w:r w:rsidR="009A6DC5" w:rsidRPr="00D57D3F">
        <w:t>,</w:t>
      </w:r>
      <w:r w:rsidR="00480693" w:rsidRPr="00D57D3F">
        <w:t>5</w:t>
      </w:r>
      <w:r w:rsidR="009A6DC5" w:rsidRPr="00D57D3F">
        <w:t xml:space="preserve"> % na 6</w:t>
      </w:r>
      <w:r w:rsidR="00A57619" w:rsidRPr="00D57D3F">
        <w:t>2</w:t>
      </w:r>
      <w:r w:rsidR="009A6DC5" w:rsidRPr="00D57D3F">
        <w:t>,</w:t>
      </w:r>
      <w:r w:rsidR="00A57619" w:rsidRPr="00D57D3F">
        <w:t>2</w:t>
      </w:r>
      <w:r w:rsidR="009A6DC5" w:rsidRPr="00D57D3F">
        <w:t xml:space="preserve"> % v roce 20</w:t>
      </w:r>
      <w:r w:rsidR="00337CFE" w:rsidRPr="00D57D3F">
        <w:t>20</w:t>
      </w:r>
      <w:r w:rsidR="009A6DC5" w:rsidRPr="00D57D3F">
        <w:t xml:space="preserve">. </w:t>
      </w:r>
      <w:r w:rsidR="00191558" w:rsidRPr="00D57D3F">
        <w:t>Meziročně vzrostlo o 1</w:t>
      </w:r>
      <w:r w:rsidR="00480693" w:rsidRPr="00D57D3F">
        <w:t>0</w:t>
      </w:r>
      <w:r w:rsidR="00191558" w:rsidRPr="00D57D3F">
        <w:t>,</w:t>
      </w:r>
      <w:r w:rsidR="00480693" w:rsidRPr="00D57D3F">
        <w:t>7</w:t>
      </w:r>
      <w:r w:rsidR="00191558" w:rsidRPr="00D57D3F">
        <w:t xml:space="preserve"> tis. t na </w:t>
      </w:r>
      <w:r w:rsidR="00191558" w:rsidRPr="00D57D3F">
        <w:lastRenderedPageBreak/>
        <w:t>celkových 4</w:t>
      </w:r>
      <w:r w:rsidR="00A102AB" w:rsidRPr="00D57D3F">
        <w:t>5,6</w:t>
      </w:r>
      <w:r w:rsidR="00191558" w:rsidRPr="00D57D3F">
        <w:t> tis. t</w:t>
      </w:r>
      <w:r w:rsidR="004A01EA" w:rsidRPr="00D57D3F">
        <w:t xml:space="preserve"> v roce 2020</w:t>
      </w:r>
      <w:r w:rsidR="00191558" w:rsidRPr="00D57D3F">
        <w:t xml:space="preserve">. </w:t>
      </w:r>
      <w:r w:rsidR="009A6DC5" w:rsidRPr="00D57D3F">
        <w:t xml:space="preserve">Energeticky </w:t>
      </w:r>
      <w:r w:rsidR="009B6186" w:rsidRPr="00D57D3F">
        <w:t xml:space="preserve">bylo </w:t>
      </w:r>
      <w:r w:rsidR="009A6DC5" w:rsidRPr="00D57D3F">
        <w:t xml:space="preserve">využíváno </w:t>
      </w:r>
      <w:r w:rsidR="009B6186" w:rsidRPr="00D57D3F">
        <w:t xml:space="preserve">v </w:t>
      </w:r>
      <w:r w:rsidR="009A6DC5" w:rsidRPr="00D57D3F">
        <w:t>roce 201</w:t>
      </w:r>
      <w:r w:rsidR="004A01EA" w:rsidRPr="00D57D3F">
        <w:t>9</w:t>
      </w:r>
      <w:r w:rsidR="009A6DC5" w:rsidRPr="00D57D3F">
        <w:t xml:space="preserve"> </w:t>
      </w:r>
      <w:r w:rsidR="00480693" w:rsidRPr="00D57D3F">
        <w:t>–</w:t>
      </w:r>
      <w:r w:rsidR="009B6186" w:rsidRPr="00D57D3F">
        <w:t xml:space="preserve"> </w:t>
      </w:r>
      <w:proofErr w:type="gramStart"/>
      <w:r w:rsidR="009A6DC5" w:rsidRPr="00D57D3F">
        <w:t>4</w:t>
      </w:r>
      <w:r w:rsidR="00480693" w:rsidRPr="00D57D3F">
        <w:t>7,8</w:t>
      </w:r>
      <w:r w:rsidR="009A6DC5" w:rsidRPr="00D57D3F">
        <w:t>%</w:t>
      </w:r>
      <w:proofErr w:type="gramEnd"/>
      <w:r w:rsidR="009A6DC5" w:rsidRPr="00D57D3F">
        <w:t>. Meziročně došlo k poklesu o</w:t>
      </w:r>
      <w:r w:rsidR="00191558" w:rsidRPr="00D57D3F">
        <w:t> </w:t>
      </w:r>
      <w:r w:rsidR="00EE2A81" w:rsidRPr="00D57D3F">
        <w:t>1</w:t>
      </w:r>
      <w:r w:rsidR="00480693" w:rsidRPr="00D57D3F">
        <w:t>1</w:t>
      </w:r>
      <w:r w:rsidR="00EE2A81" w:rsidRPr="00D57D3F">
        <w:t>,8 % na 3</w:t>
      </w:r>
      <w:r w:rsidR="004A01EA" w:rsidRPr="00D57D3F">
        <w:t>6</w:t>
      </w:r>
      <w:r w:rsidR="00EE2A81" w:rsidRPr="00D57D3F">
        <w:t xml:space="preserve"> %</w:t>
      </w:r>
      <w:r w:rsidR="004A01EA" w:rsidRPr="00D57D3F">
        <w:t xml:space="preserve"> v 2020</w:t>
      </w:r>
      <w:r w:rsidRPr="00D57D3F">
        <w:t xml:space="preserve">. Opětovné použití bylo zaznamenáno pouze v malé míře </w:t>
      </w:r>
      <w:r w:rsidR="004A01EA" w:rsidRPr="00D57D3F">
        <w:t xml:space="preserve">1,8 % v 2020 a </w:t>
      </w:r>
      <w:r w:rsidR="00480693" w:rsidRPr="00D57D3F">
        <w:t>1,5</w:t>
      </w:r>
      <w:r w:rsidR="004A01EA" w:rsidRPr="00D57D3F">
        <w:t xml:space="preserve"> % v 2019.</w:t>
      </w:r>
      <w:r w:rsidR="009349BF" w:rsidRPr="00D57D3F">
        <w:t xml:space="preserve"> </w:t>
      </w:r>
      <w:r w:rsidRPr="00D57D3F">
        <w:t xml:space="preserve">Postupně </w:t>
      </w:r>
      <w:r w:rsidR="004A01EA" w:rsidRPr="00D57D3F">
        <w:t>mírně narůstá opětovné použití pneumatik</w:t>
      </w:r>
      <w:r w:rsidRPr="00D57D3F">
        <w:t xml:space="preserve">, což lze </w:t>
      </w:r>
      <w:r w:rsidR="009B6186" w:rsidRPr="00D57D3F">
        <w:t xml:space="preserve">s ohledem na </w:t>
      </w:r>
      <w:r w:rsidRPr="00D57D3F">
        <w:t xml:space="preserve">hierarchii nakládání s odpady označit jako pozitivní trend. Opětovné použití pneumatik </w:t>
      </w:r>
      <w:r w:rsidR="00191558" w:rsidRPr="00D57D3F">
        <w:t xml:space="preserve">je </w:t>
      </w:r>
      <w:r w:rsidR="004A01EA" w:rsidRPr="00D57D3F">
        <w:t xml:space="preserve">přesto stále </w:t>
      </w:r>
      <w:r w:rsidR="00191558" w:rsidRPr="00D57D3F">
        <w:t>nízké</w:t>
      </w:r>
      <w:r w:rsidR="00132383" w:rsidRPr="00D57D3F">
        <w:t xml:space="preserve"> (cca </w:t>
      </w:r>
      <w:r w:rsidR="004A01EA" w:rsidRPr="00D57D3F">
        <w:t>1300</w:t>
      </w:r>
      <w:r w:rsidR="00132383" w:rsidRPr="00D57D3F">
        <w:t xml:space="preserve"> t)</w:t>
      </w:r>
      <w:r w:rsidR="009349BF" w:rsidRPr="00D57D3F">
        <w:t>, ale protektorování pneumatik probíhá také mimo režim odpadů.</w:t>
      </w:r>
      <w:r w:rsidR="00191558" w:rsidRPr="00D57D3F">
        <w:t xml:space="preserve"> </w:t>
      </w:r>
      <w:r w:rsidR="00480693" w:rsidRPr="00D57D3F">
        <w:t>Postupně dochází k odklonu od energetického využití směrem k materiálovému, což je také v souladu s hierarchií odpadového hospodářství a lze to označit za pozitivní trend.</w:t>
      </w:r>
    </w:p>
    <w:p w:rsidR="0082527E" w:rsidRDefault="008C12E6" w:rsidP="00065812">
      <w:pPr>
        <w:spacing w:after="240" w:line="276" w:lineRule="auto"/>
      </w:pPr>
      <w:r w:rsidRPr="00D57D3F">
        <w:rPr>
          <w:b/>
        </w:rPr>
        <w:t>Cíl na dosažení míry využití p</w:t>
      </w:r>
      <w:r w:rsidR="00180950" w:rsidRPr="00D57D3F">
        <w:rPr>
          <w:b/>
        </w:rPr>
        <w:t>ři</w:t>
      </w:r>
      <w:r w:rsidRPr="00D57D3F">
        <w:rPr>
          <w:b/>
        </w:rPr>
        <w:t xml:space="preserve"> zpracování odpadních pneumatik </w:t>
      </w:r>
      <w:r w:rsidRPr="00D57D3F">
        <w:t>stanovený na rok 20</w:t>
      </w:r>
      <w:r w:rsidR="00337CFE" w:rsidRPr="00D57D3F">
        <w:t>20</w:t>
      </w:r>
      <w:r w:rsidRPr="00D57D3F">
        <w:t>, a</w:t>
      </w:r>
      <w:r w:rsidR="00CE680C" w:rsidRPr="00D57D3F">
        <w:t> </w:t>
      </w:r>
      <w:r w:rsidRPr="00D57D3F">
        <w:t>to 100 % využití odpadních pneumatik, byl v roce</w:t>
      </w:r>
      <w:r w:rsidRPr="00D57D3F">
        <w:rPr>
          <w:b/>
        </w:rPr>
        <w:t xml:space="preserve"> 201</w:t>
      </w:r>
      <w:r w:rsidR="00337CFE" w:rsidRPr="00D57D3F">
        <w:rPr>
          <w:b/>
        </w:rPr>
        <w:t>9</w:t>
      </w:r>
      <w:r w:rsidRPr="00D57D3F">
        <w:rPr>
          <w:b/>
        </w:rPr>
        <w:t xml:space="preserve"> </w:t>
      </w:r>
      <w:r w:rsidR="008604A2" w:rsidRPr="00D57D3F">
        <w:rPr>
          <w:b/>
        </w:rPr>
        <w:t xml:space="preserve">plněn na 100 % </w:t>
      </w:r>
      <w:r w:rsidRPr="00D57D3F">
        <w:t>a v roce</w:t>
      </w:r>
      <w:r w:rsidRPr="00D57D3F">
        <w:rPr>
          <w:b/>
        </w:rPr>
        <w:t xml:space="preserve"> 20</w:t>
      </w:r>
      <w:r w:rsidR="00337CFE" w:rsidRPr="00D57D3F">
        <w:rPr>
          <w:b/>
        </w:rPr>
        <w:t>20</w:t>
      </w:r>
      <w:r w:rsidR="00593DFA" w:rsidRPr="00D57D3F">
        <w:rPr>
          <w:b/>
        </w:rPr>
        <w:t xml:space="preserve"> </w:t>
      </w:r>
      <w:r w:rsidR="008B5E5D" w:rsidRPr="00D57D3F">
        <w:t xml:space="preserve">byl </w:t>
      </w:r>
      <w:r w:rsidR="008604A2" w:rsidRPr="00D57D3F">
        <w:t>také</w:t>
      </w:r>
      <w:r w:rsidR="008B5E5D" w:rsidRPr="00D57D3F">
        <w:rPr>
          <w:b/>
        </w:rPr>
        <w:t xml:space="preserve"> splněn </w:t>
      </w:r>
      <w:r w:rsidR="008B5E5D" w:rsidRPr="00D57D3F">
        <w:t>a dosáhl</w:t>
      </w:r>
      <w:r w:rsidR="008B5E5D" w:rsidRPr="00D57D3F">
        <w:rPr>
          <w:b/>
        </w:rPr>
        <w:t xml:space="preserve"> 100 %</w:t>
      </w:r>
      <w:r w:rsidR="008B5E5D" w:rsidRPr="00D57D3F">
        <w:t xml:space="preserve">. </w:t>
      </w:r>
      <w:r w:rsidR="00445D96" w:rsidRPr="00D57D3F">
        <w:t xml:space="preserve">    </w:t>
      </w:r>
      <w:r w:rsidRPr="00D57D3F">
        <w:t xml:space="preserve"> </w:t>
      </w:r>
    </w:p>
    <w:p w:rsidR="00F636F3" w:rsidRPr="00AB042B" w:rsidRDefault="008C12E6" w:rsidP="00F636F3">
      <w:pPr>
        <w:rPr>
          <w:b/>
        </w:rPr>
      </w:pPr>
      <w:r w:rsidRPr="00AB042B">
        <w:rPr>
          <w:b/>
        </w:rPr>
        <w:t xml:space="preserve">Graf </w:t>
      </w:r>
      <w:r w:rsidR="00D57D3F">
        <w:rPr>
          <w:b/>
        </w:rPr>
        <w:t>5</w:t>
      </w:r>
      <w:r w:rsidR="00D22AF5" w:rsidRPr="00AB042B">
        <w:rPr>
          <w:b/>
        </w:rPr>
        <w:t>:</w:t>
      </w:r>
    </w:p>
    <w:p w:rsidR="00F636F3" w:rsidRPr="00F636F3" w:rsidRDefault="008C12E6" w:rsidP="00F636F3">
      <w:pPr>
        <w:spacing w:after="120"/>
        <w:rPr>
          <w:b/>
        </w:rPr>
      </w:pPr>
      <w:r w:rsidRPr="00AB042B">
        <w:rPr>
          <w:b/>
        </w:rPr>
        <w:t xml:space="preserve">Vývoj zpětného odběru vybraných výrobků v ČR [%], </w:t>
      </w:r>
      <w:r w:rsidR="004963FB" w:rsidRPr="00AB042B">
        <w:rPr>
          <w:b/>
        </w:rPr>
        <w:t>2009–2020</w:t>
      </w:r>
    </w:p>
    <w:p w:rsidR="00F636F3" w:rsidRDefault="008C12E6" w:rsidP="00CE680C">
      <w:pPr>
        <w:spacing w:line="276" w:lineRule="auto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803900" cy="4229100"/>
            <wp:effectExtent l="0" t="0" r="6350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A2C98DA1-63CD-4139-8169-5A7D93648D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36F3" w:rsidRPr="006A1B37" w:rsidRDefault="008C12E6" w:rsidP="006A1B37">
      <w:pPr>
        <w:spacing w:after="120"/>
        <w:rPr>
          <w:i/>
          <w:szCs w:val="24"/>
        </w:rPr>
      </w:pPr>
      <w:r w:rsidRPr="001427FF">
        <w:rPr>
          <w:i/>
          <w:sz w:val="18"/>
          <w:szCs w:val="18"/>
        </w:rPr>
        <w:t xml:space="preserve">Zdroj: </w:t>
      </w:r>
      <w:r>
        <w:rPr>
          <w:i/>
          <w:sz w:val="18"/>
          <w:szCs w:val="18"/>
        </w:rPr>
        <w:t xml:space="preserve">ISOH, </w:t>
      </w:r>
      <w:r w:rsidRPr="00FC07C4">
        <w:rPr>
          <w:i/>
          <w:sz w:val="18"/>
          <w:szCs w:val="18"/>
        </w:rPr>
        <w:t>MŽP</w:t>
      </w:r>
      <w:r>
        <w:rPr>
          <w:i/>
          <w:sz w:val="18"/>
          <w:szCs w:val="18"/>
        </w:rPr>
        <w:t>, 20</w:t>
      </w:r>
      <w:r w:rsidR="00AB042B">
        <w:rPr>
          <w:i/>
          <w:sz w:val="18"/>
          <w:szCs w:val="18"/>
        </w:rPr>
        <w:t>20</w:t>
      </w:r>
    </w:p>
    <w:p w:rsidR="00F636F3" w:rsidRDefault="00F636F3" w:rsidP="00F636F3">
      <w:pPr>
        <w:rPr>
          <w:b/>
          <w:u w:val="single"/>
        </w:rPr>
      </w:pPr>
    </w:p>
    <w:p w:rsidR="00337CFE" w:rsidRPr="00D57D3F" w:rsidRDefault="008C12E6" w:rsidP="00944652">
      <w:pPr>
        <w:spacing w:line="276" w:lineRule="auto"/>
      </w:pPr>
      <w:r w:rsidRPr="00D57D3F">
        <w:t xml:space="preserve">Zpětný odběr pneumatik v letech </w:t>
      </w:r>
      <w:r w:rsidR="001C2050" w:rsidRPr="00D57D3F">
        <w:t>2019</w:t>
      </w:r>
      <w:r w:rsidR="001C2050">
        <w:t>–2020</w:t>
      </w:r>
      <w:r w:rsidRPr="00D57D3F">
        <w:t xml:space="preserve"> výrazně stoupá. </w:t>
      </w:r>
    </w:p>
    <w:p w:rsidR="006E1F17" w:rsidRPr="00D57D3F" w:rsidRDefault="008C12E6" w:rsidP="00944652">
      <w:pPr>
        <w:spacing w:line="276" w:lineRule="auto"/>
      </w:pPr>
      <w:r w:rsidRPr="00D57D3F">
        <w:t>Úroveň zpětného odběru a</w:t>
      </w:r>
      <w:r w:rsidR="00653192" w:rsidRPr="00D57D3F">
        <w:t> </w:t>
      </w:r>
      <w:r w:rsidRPr="00D57D3F">
        <w:t xml:space="preserve">odděleného sběru elektrozařízení a elektroodpadů v letech </w:t>
      </w:r>
      <w:r w:rsidR="001C2050" w:rsidRPr="00D57D3F">
        <w:t>2019–2020</w:t>
      </w:r>
      <w:r w:rsidRPr="00D57D3F">
        <w:t xml:space="preserve"> mírně vzrůstá. </w:t>
      </w:r>
    </w:p>
    <w:p w:rsidR="00C878F0" w:rsidRDefault="008C12E6" w:rsidP="00C878F0">
      <w:pPr>
        <w:spacing w:line="276" w:lineRule="auto"/>
      </w:pPr>
      <w:r w:rsidRPr="00D57D3F">
        <w:t xml:space="preserve">Zpětný odběr přenosných baterií a akumulátorů </w:t>
      </w:r>
      <w:r w:rsidR="006E1F17" w:rsidRPr="00D57D3F">
        <w:t xml:space="preserve">v letech </w:t>
      </w:r>
      <w:r w:rsidR="001C2050" w:rsidRPr="00D57D3F">
        <w:t>2019</w:t>
      </w:r>
      <w:r w:rsidR="001C2050">
        <w:t>–2020</w:t>
      </w:r>
      <w:r w:rsidR="006E1F17" w:rsidRPr="00D57D3F">
        <w:t xml:space="preserve"> </w:t>
      </w:r>
      <w:r w:rsidRPr="00D57D3F">
        <w:t>spíše stagnoval.</w:t>
      </w:r>
      <w:r>
        <w:t xml:space="preserve">   </w:t>
      </w:r>
      <w:r>
        <w:br w:type="page"/>
      </w:r>
    </w:p>
    <w:p w:rsidR="00F20C3D" w:rsidRPr="00D57D3F" w:rsidRDefault="008C12E6" w:rsidP="00CE680C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lastRenderedPageBreak/>
        <w:t>Vozidla s ukončenou životností (autovraky)</w:t>
      </w:r>
    </w:p>
    <w:p w:rsidR="00B9770B" w:rsidRPr="00D57D3F" w:rsidRDefault="008C12E6" w:rsidP="00CE680C">
      <w:pPr>
        <w:spacing w:after="120" w:line="276" w:lineRule="auto"/>
      </w:pPr>
      <w:r w:rsidRPr="00D57D3F">
        <w:t xml:space="preserve">K </w:t>
      </w:r>
      <w:r w:rsidR="001F5C70" w:rsidRPr="00D57D3F">
        <w:t xml:space="preserve">hodnocení dat </w:t>
      </w:r>
      <w:r w:rsidRPr="00D57D3F">
        <w:t xml:space="preserve">o </w:t>
      </w:r>
      <w:r w:rsidR="00CE7A08" w:rsidRPr="00D57D3F">
        <w:t>vozidlech s ukončenou životností (</w:t>
      </w:r>
      <w:r w:rsidRPr="00D57D3F">
        <w:t>autovracích</w:t>
      </w:r>
      <w:r w:rsidR="00CE7A08" w:rsidRPr="00D57D3F">
        <w:t>)</w:t>
      </w:r>
      <w:r w:rsidRPr="00D57D3F">
        <w:t xml:space="preserve"> </w:t>
      </w:r>
      <w:r w:rsidR="001F5C70" w:rsidRPr="00D57D3F">
        <w:t xml:space="preserve">se </w:t>
      </w:r>
      <w:r w:rsidRPr="00D57D3F">
        <w:t xml:space="preserve">využívá </w:t>
      </w:r>
      <w:r w:rsidR="001F5C70" w:rsidRPr="00D57D3F">
        <w:t>Modulu Autovraky Informačního systému odpadového hospodářství (</w:t>
      </w:r>
      <w:r w:rsidR="00896F34" w:rsidRPr="00D57D3F">
        <w:t>dále jen „</w:t>
      </w:r>
      <w:r w:rsidR="001F5C70" w:rsidRPr="00D57D3F">
        <w:t>MA ISOH</w:t>
      </w:r>
      <w:r w:rsidR="00896F34" w:rsidRPr="00D57D3F">
        <w:t>“</w:t>
      </w:r>
      <w:r w:rsidR="001F5C70" w:rsidRPr="00D57D3F">
        <w:t>), do kterého zadávají data přímo zpracovatelé autovraků. Na základě dat systému MA ISOH mezi lety 201</w:t>
      </w:r>
      <w:r w:rsidR="00CE7A08" w:rsidRPr="00D57D3F">
        <w:t>9</w:t>
      </w:r>
      <w:r w:rsidR="001F5C70" w:rsidRPr="00D57D3F">
        <w:t xml:space="preserve"> a 20</w:t>
      </w:r>
      <w:r w:rsidR="00CE7A08" w:rsidRPr="00D57D3F">
        <w:t>20</w:t>
      </w:r>
      <w:r w:rsidR="001F5C70" w:rsidRPr="00D57D3F">
        <w:t xml:space="preserve"> </w:t>
      </w:r>
      <w:r w:rsidR="000E290B" w:rsidRPr="00D57D3F">
        <w:t xml:space="preserve">poklesl o 5 % </w:t>
      </w:r>
      <w:r w:rsidR="0092040F" w:rsidRPr="00D57D3F">
        <w:t xml:space="preserve">počet </w:t>
      </w:r>
      <w:r w:rsidRPr="00D57D3F">
        <w:t>zpracova</w:t>
      </w:r>
      <w:r w:rsidRPr="00D57D3F">
        <w:t>ných autovraků</w:t>
      </w:r>
      <w:r w:rsidR="001F5C70" w:rsidRPr="00D57D3F">
        <w:t xml:space="preserve"> na celkových 1</w:t>
      </w:r>
      <w:r w:rsidR="000E290B" w:rsidRPr="00D57D3F">
        <w:t>69,6</w:t>
      </w:r>
      <w:r w:rsidR="001F5C70" w:rsidRPr="00D57D3F">
        <w:t> tis</w:t>
      </w:r>
      <w:r w:rsidR="0092040F" w:rsidRPr="00D57D3F">
        <w:t>. kusů v roce 20</w:t>
      </w:r>
      <w:r w:rsidR="00CE7A08" w:rsidRPr="00D57D3F">
        <w:t>20</w:t>
      </w:r>
      <w:r w:rsidR="0092040F" w:rsidRPr="00D57D3F">
        <w:t xml:space="preserve"> (v roce 201</w:t>
      </w:r>
      <w:r w:rsidR="00CE7A08" w:rsidRPr="00D57D3F">
        <w:t>9</w:t>
      </w:r>
      <w:r w:rsidR="0092040F" w:rsidRPr="00D57D3F">
        <w:t xml:space="preserve"> to bylo 1</w:t>
      </w:r>
      <w:r w:rsidR="000E290B" w:rsidRPr="00D57D3F">
        <w:t>78,4</w:t>
      </w:r>
      <w:r w:rsidR="00010AAC" w:rsidRPr="00D57D3F">
        <w:t> </w:t>
      </w:r>
      <w:r w:rsidR="0092040F" w:rsidRPr="00D57D3F">
        <w:t xml:space="preserve">tis. </w:t>
      </w:r>
      <w:r w:rsidR="0092040F" w:rsidRPr="00A56CA2">
        <w:t>kusů)</w:t>
      </w:r>
      <w:r w:rsidR="001F5C70" w:rsidRPr="00A56CA2">
        <w:t xml:space="preserve"> (Graf</w:t>
      </w:r>
      <w:r w:rsidR="0092040F" w:rsidRPr="00A56CA2">
        <w:t> </w:t>
      </w:r>
      <w:r w:rsidR="00D57D3F" w:rsidRPr="00A56CA2">
        <w:t>6</w:t>
      </w:r>
      <w:r w:rsidR="00896F34" w:rsidRPr="00A56CA2">
        <w:t>)</w:t>
      </w:r>
      <w:r w:rsidR="009C0519" w:rsidRPr="00A56CA2">
        <w:t>.</w:t>
      </w:r>
      <w:r w:rsidR="001F5C70" w:rsidRPr="00A56CA2">
        <w:t xml:space="preserve"> </w:t>
      </w:r>
      <w:r w:rsidR="005D039D" w:rsidRPr="00A56CA2">
        <w:t>Průměrné</w:t>
      </w:r>
      <w:r w:rsidR="005D039D" w:rsidRPr="00D57D3F">
        <w:t xml:space="preserve"> stáří </w:t>
      </w:r>
      <w:r w:rsidR="005D039D" w:rsidRPr="00D57D3F">
        <w:rPr>
          <w:bCs/>
        </w:rPr>
        <w:t xml:space="preserve">vozidel přijímaných do zařízení ke sběru a zpracování autovraků </w:t>
      </w:r>
      <w:r w:rsidR="005D039D" w:rsidRPr="00D57D3F">
        <w:t>je v roce 20</w:t>
      </w:r>
      <w:r w:rsidR="00CE7A08" w:rsidRPr="00D57D3F">
        <w:t>20</w:t>
      </w:r>
      <w:r w:rsidR="005D039D" w:rsidRPr="00D57D3F">
        <w:t xml:space="preserve"> </w:t>
      </w:r>
      <w:r w:rsidR="00F22340" w:rsidRPr="00D57D3F">
        <w:t>–</w:t>
      </w:r>
      <w:r w:rsidR="00896F34" w:rsidRPr="00D57D3F">
        <w:t xml:space="preserve"> </w:t>
      </w:r>
      <w:r w:rsidR="00F22340" w:rsidRPr="00D57D3F">
        <w:t>20,4</w:t>
      </w:r>
      <w:r w:rsidR="005D039D" w:rsidRPr="00D57D3F">
        <w:t xml:space="preserve"> let. </w:t>
      </w:r>
    </w:p>
    <w:p w:rsidR="003C51BE" w:rsidRPr="00D57D3F" w:rsidRDefault="008C12E6" w:rsidP="00F12E8F">
      <w:pPr>
        <w:spacing w:after="120" w:line="276" w:lineRule="auto"/>
        <w:rPr>
          <w:rFonts w:cstheme="minorHAnsi"/>
          <w:szCs w:val="24"/>
        </w:rPr>
      </w:pPr>
      <w:r w:rsidRPr="00D57D3F">
        <w:rPr>
          <w:rFonts w:cstheme="minorHAnsi"/>
          <w:szCs w:val="24"/>
        </w:rPr>
        <w:t>V roce 201</w:t>
      </w:r>
      <w:r w:rsidR="00CF1D24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bylo </w:t>
      </w:r>
      <w:r w:rsidRPr="00D57D3F">
        <w:rPr>
          <w:rFonts w:cstheme="minorHAnsi"/>
          <w:b/>
          <w:szCs w:val="24"/>
        </w:rPr>
        <w:t xml:space="preserve">opětovně použito a </w:t>
      </w:r>
      <w:r w:rsidRPr="00D57D3F">
        <w:rPr>
          <w:rFonts w:cstheme="minorHAnsi"/>
          <w:b/>
          <w:szCs w:val="24"/>
        </w:rPr>
        <w:t>recyklováno</w:t>
      </w:r>
      <w:r w:rsidRPr="00D57D3F">
        <w:rPr>
          <w:rFonts w:cstheme="minorHAnsi"/>
          <w:szCs w:val="24"/>
        </w:rPr>
        <w:t xml:space="preserve"> </w:t>
      </w:r>
      <w:r w:rsidR="009C2782" w:rsidRPr="00D57D3F">
        <w:rPr>
          <w:rFonts w:cstheme="minorHAnsi"/>
          <w:szCs w:val="24"/>
        </w:rPr>
        <w:t>91</w:t>
      </w:r>
      <w:r w:rsidRPr="00D57D3F">
        <w:rPr>
          <w:rFonts w:cstheme="minorHAnsi"/>
          <w:szCs w:val="24"/>
        </w:rPr>
        <w:t>,</w:t>
      </w:r>
      <w:r w:rsidR="00052D4E" w:rsidRPr="00D57D3F">
        <w:rPr>
          <w:rFonts w:cstheme="minorHAnsi"/>
          <w:szCs w:val="24"/>
        </w:rPr>
        <w:t>8</w:t>
      </w:r>
      <w:r w:rsidRPr="00D57D3F">
        <w:rPr>
          <w:rFonts w:cstheme="minorHAnsi"/>
          <w:szCs w:val="24"/>
        </w:rPr>
        <w:t xml:space="preserve"> % frakcí vzniklých zpracováním vybraných autovraků a v roce 20</w:t>
      </w:r>
      <w:r w:rsidR="00CF1D24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činilo opětovné použití a recyklace </w:t>
      </w:r>
      <w:r w:rsidR="00CD38D4" w:rsidRPr="00D57D3F">
        <w:rPr>
          <w:rFonts w:cstheme="minorHAnsi"/>
          <w:szCs w:val="24"/>
        </w:rPr>
        <w:t>9</w:t>
      </w:r>
      <w:r w:rsidR="00A159C7" w:rsidRPr="00D57D3F">
        <w:rPr>
          <w:rFonts w:cstheme="minorHAnsi"/>
          <w:szCs w:val="24"/>
        </w:rPr>
        <w:t>0,2</w:t>
      </w:r>
      <w:r w:rsidRPr="00D57D3F">
        <w:rPr>
          <w:rFonts w:cstheme="minorHAnsi"/>
          <w:szCs w:val="24"/>
        </w:rPr>
        <w:t xml:space="preserve"> %. </w:t>
      </w:r>
      <w:r w:rsidRPr="00D57D3F">
        <w:rPr>
          <w:rFonts w:cstheme="minorHAnsi"/>
          <w:b/>
          <w:szCs w:val="24"/>
        </w:rPr>
        <w:t xml:space="preserve">Cíl pro opětovné použití a recyklaci vybraných autovraků </w:t>
      </w:r>
      <w:r w:rsidR="008159D9" w:rsidRPr="00D57D3F">
        <w:rPr>
          <w:rFonts w:cstheme="minorHAnsi"/>
          <w:szCs w:val="24"/>
        </w:rPr>
        <w:t xml:space="preserve">(85 %) </w:t>
      </w:r>
      <w:r w:rsidRPr="00D57D3F">
        <w:rPr>
          <w:rFonts w:cstheme="minorHAnsi"/>
          <w:b/>
          <w:szCs w:val="24"/>
        </w:rPr>
        <w:t>byl splněn</w:t>
      </w:r>
      <w:r w:rsidRPr="00D57D3F">
        <w:rPr>
          <w:rFonts w:cstheme="minorHAnsi"/>
          <w:szCs w:val="24"/>
        </w:rPr>
        <w:t xml:space="preserve"> pro oba sledované roky</w:t>
      </w:r>
      <w:r w:rsidR="00896F34" w:rsidRPr="00D57D3F">
        <w:rPr>
          <w:rFonts w:cstheme="minorHAnsi"/>
          <w:szCs w:val="24"/>
        </w:rPr>
        <w:t xml:space="preserve"> </w:t>
      </w:r>
      <w:r w:rsidR="00CF1D24" w:rsidRPr="00D57D3F">
        <w:rPr>
          <w:rFonts w:cstheme="minorHAnsi"/>
          <w:szCs w:val="24"/>
        </w:rPr>
        <w:t>v 2019 i 2020.</w:t>
      </w:r>
    </w:p>
    <w:p w:rsidR="00D33FAC" w:rsidRPr="00D57D3F" w:rsidRDefault="008C12E6" w:rsidP="00F12E8F">
      <w:pPr>
        <w:spacing w:after="120" w:line="276" w:lineRule="auto"/>
        <w:rPr>
          <w:rFonts w:cstheme="minorHAnsi"/>
          <w:b/>
          <w:szCs w:val="24"/>
        </w:rPr>
      </w:pPr>
      <w:r w:rsidRPr="00D57D3F">
        <w:rPr>
          <w:rFonts w:cstheme="minorHAnsi"/>
          <w:szCs w:val="24"/>
        </w:rPr>
        <w:t>V roce 201</w:t>
      </w:r>
      <w:r w:rsidR="00CF1D24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bylo </w:t>
      </w:r>
      <w:r w:rsidRPr="00D57D3F">
        <w:rPr>
          <w:rFonts w:cstheme="minorHAnsi"/>
          <w:b/>
          <w:szCs w:val="24"/>
        </w:rPr>
        <w:t>využito a opětovně použito</w:t>
      </w:r>
      <w:r w:rsidRPr="00D57D3F">
        <w:rPr>
          <w:rFonts w:cstheme="minorHAnsi"/>
          <w:szCs w:val="24"/>
        </w:rPr>
        <w:t xml:space="preserve"> </w:t>
      </w:r>
      <w:r w:rsidR="00052D4E" w:rsidRPr="00D57D3F">
        <w:rPr>
          <w:rFonts w:cstheme="minorHAnsi"/>
          <w:szCs w:val="24"/>
        </w:rPr>
        <w:t>95,8</w:t>
      </w:r>
      <w:r w:rsidRPr="00D57D3F">
        <w:rPr>
          <w:rFonts w:cstheme="minorHAnsi"/>
          <w:szCs w:val="24"/>
        </w:rPr>
        <w:t xml:space="preserve"> % frakcí ze zpracovaných vybraných autovraků a v roce 20</w:t>
      </w:r>
      <w:r w:rsidR="00CF1D24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bylo využito a opětovně použito </w:t>
      </w:r>
      <w:r w:rsidR="00EC7B3B" w:rsidRPr="00D57D3F">
        <w:rPr>
          <w:rFonts w:cstheme="minorHAnsi"/>
          <w:szCs w:val="24"/>
        </w:rPr>
        <w:t>9</w:t>
      </w:r>
      <w:r w:rsidR="00A159C7" w:rsidRPr="00D57D3F">
        <w:rPr>
          <w:rFonts w:cstheme="minorHAnsi"/>
          <w:szCs w:val="24"/>
        </w:rPr>
        <w:t>5</w:t>
      </w:r>
      <w:r w:rsidRPr="00D57D3F">
        <w:rPr>
          <w:rFonts w:cstheme="minorHAnsi"/>
          <w:szCs w:val="24"/>
        </w:rPr>
        <w:t xml:space="preserve"> % frakcí. </w:t>
      </w:r>
      <w:r w:rsidR="003C51BE" w:rsidRPr="00D57D3F">
        <w:rPr>
          <w:rFonts w:cstheme="minorHAnsi"/>
          <w:b/>
          <w:szCs w:val="24"/>
        </w:rPr>
        <w:t xml:space="preserve">Cíl pro opětovné použití a využití vybraných autovraků </w:t>
      </w:r>
      <w:r w:rsidR="008159D9" w:rsidRPr="00D57D3F">
        <w:rPr>
          <w:rFonts w:cstheme="minorHAnsi"/>
          <w:szCs w:val="24"/>
        </w:rPr>
        <w:t xml:space="preserve">(95 %) </w:t>
      </w:r>
      <w:r w:rsidR="003C51BE" w:rsidRPr="00D57D3F">
        <w:rPr>
          <w:rFonts w:cstheme="minorHAnsi"/>
          <w:b/>
          <w:szCs w:val="24"/>
        </w:rPr>
        <w:t xml:space="preserve">byl splněn </w:t>
      </w:r>
      <w:r w:rsidR="003C51BE" w:rsidRPr="00D57D3F">
        <w:rPr>
          <w:rFonts w:cstheme="minorHAnsi"/>
          <w:szCs w:val="24"/>
        </w:rPr>
        <w:t>pro oba sledované roky</w:t>
      </w:r>
      <w:r w:rsidR="00CF1D24" w:rsidRPr="00D57D3F">
        <w:rPr>
          <w:rFonts w:cstheme="minorHAnsi"/>
          <w:szCs w:val="24"/>
        </w:rPr>
        <w:t xml:space="preserve"> </w:t>
      </w:r>
      <w:r w:rsidR="00A159C7" w:rsidRPr="00D57D3F">
        <w:rPr>
          <w:rFonts w:cstheme="minorHAnsi"/>
          <w:szCs w:val="24"/>
        </w:rPr>
        <w:t>(</w:t>
      </w:r>
      <w:r w:rsidR="00CF1D24" w:rsidRPr="00D57D3F">
        <w:rPr>
          <w:rFonts w:cstheme="minorHAnsi"/>
          <w:szCs w:val="24"/>
        </w:rPr>
        <w:t>2019 i 2020</w:t>
      </w:r>
      <w:r w:rsidR="00A159C7" w:rsidRPr="00D57D3F">
        <w:rPr>
          <w:rFonts w:cstheme="minorHAnsi"/>
          <w:szCs w:val="24"/>
        </w:rPr>
        <w:t>)</w:t>
      </w:r>
      <w:r w:rsidR="003C51BE" w:rsidRPr="00D57D3F">
        <w:rPr>
          <w:rFonts w:cstheme="minorHAnsi"/>
          <w:szCs w:val="24"/>
        </w:rPr>
        <w:t>.</w:t>
      </w:r>
    </w:p>
    <w:p w:rsidR="0085622A" w:rsidRDefault="008C12E6" w:rsidP="00896F34">
      <w:pPr>
        <w:spacing w:after="360" w:line="276" w:lineRule="auto"/>
        <w:rPr>
          <w:bCs/>
        </w:rPr>
      </w:pPr>
      <w:r w:rsidRPr="00D57D3F">
        <w:rPr>
          <w:bCs/>
          <w:szCs w:val="24"/>
        </w:rPr>
        <w:t xml:space="preserve">V letech </w:t>
      </w:r>
      <w:r w:rsidRPr="00D57D3F">
        <w:rPr>
          <w:bCs/>
          <w:szCs w:val="24"/>
        </w:rPr>
        <w:t>201</w:t>
      </w:r>
      <w:r w:rsidR="00B56ECD" w:rsidRPr="00D57D3F">
        <w:rPr>
          <w:bCs/>
          <w:szCs w:val="24"/>
        </w:rPr>
        <w:t>9</w:t>
      </w:r>
      <w:r w:rsidRPr="00D57D3F">
        <w:rPr>
          <w:bCs/>
          <w:szCs w:val="24"/>
        </w:rPr>
        <w:t xml:space="preserve"> i 20</w:t>
      </w:r>
      <w:r w:rsidR="00B56ECD" w:rsidRPr="00D57D3F">
        <w:rPr>
          <w:bCs/>
          <w:szCs w:val="24"/>
        </w:rPr>
        <w:t>20</w:t>
      </w:r>
      <w:r w:rsidRPr="00D57D3F">
        <w:rPr>
          <w:bCs/>
          <w:szCs w:val="24"/>
        </w:rPr>
        <w:t xml:space="preserve"> bylo zpracovatelům umožněno </w:t>
      </w:r>
      <w:r w:rsidR="00C208D8" w:rsidRPr="00D57D3F">
        <w:rPr>
          <w:bCs/>
        </w:rPr>
        <w:t>zapoji</w:t>
      </w:r>
      <w:r w:rsidRPr="00D57D3F">
        <w:rPr>
          <w:bCs/>
        </w:rPr>
        <w:t xml:space="preserve">t se </w:t>
      </w:r>
      <w:r w:rsidR="00C208D8" w:rsidRPr="00D57D3F">
        <w:rPr>
          <w:bCs/>
        </w:rPr>
        <w:t xml:space="preserve">do </w:t>
      </w:r>
      <w:r w:rsidR="00896F34" w:rsidRPr="00D57D3F">
        <w:rPr>
          <w:bCs/>
          <w:i/>
        </w:rPr>
        <w:t>„P</w:t>
      </w:r>
      <w:r w:rsidR="00C208D8" w:rsidRPr="00D57D3F">
        <w:rPr>
          <w:bCs/>
          <w:i/>
        </w:rPr>
        <w:t>rogramu na podporu systému nakládání s</w:t>
      </w:r>
      <w:r w:rsidR="00896F34" w:rsidRPr="00D57D3F">
        <w:rPr>
          <w:bCs/>
          <w:i/>
        </w:rPr>
        <w:t> </w:t>
      </w:r>
      <w:r w:rsidR="00C208D8" w:rsidRPr="00D57D3F">
        <w:rPr>
          <w:bCs/>
          <w:i/>
        </w:rPr>
        <w:t>autovraky</w:t>
      </w:r>
      <w:r w:rsidR="00896F34" w:rsidRPr="00D57D3F">
        <w:rPr>
          <w:bCs/>
          <w:i/>
        </w:rPr>
        <w:t>“</w:t>
      </w:r>
      <w:r w:rsidR="00C208D8" w:rsidRPr="00D57D3F">
        <w:rPr>
          <w:bCs/>
        </w:rPr>
        <w:t xml:space="preserve">, který je financován v rámci Národního programu </w:t>
      </w:r>
      <w:r w:rsidR="00663049" w:rsidRPr="00D57D3F">
        <w:rPr>
          <w:bCs/>
        </w:rPr>
        <w:t xml:space="preserve">Státního fondu životního prostředí </w:t>
      </w:r>
      <w:r w:rsidR="00D45EF3" w:rsidRPr="00D57D3F">
        <w:rPr>
          <w:bCs/>
        </w:rPr>
        <w:t xml:space="preserve">České republiky </w:t>
      </w:r>
      <w:r w:rsidR="00663049" w:rsidRPr="00D57D3F">
        <w:rPr>
          <w:bCs/>
        </w:rPr>
        <w:t>(dále jen „</w:t>
      </w:r>
      <w:r w:rsidR="00C208D8" w:rsidRPr="00D57D3F">
        <w:rPr>
          <w:bCs/>
        </w:rPr>
        <w:t>SFŽP</w:t>
      </w:r>
      <w:r w:rsidR="00663049" w:rsidRPr="00D57D3F">
        <w:rPr>
          <w:bCs/>
        </w:rPr>
        <w:t>“)</w:t>
      </w:r>
      <w:r w:rsidR="00C208D8" w:rsidRPr="00D57D3F">
        <w:rPr>
          <w:bCs/>
        </w:rPr>
        <w:t xml:space="preserve">. </w:t>
      </w:r>
      <w:r w:rsidRPr="00D57D3F">
        <w:rPr>
          <w:bCs/>
        </w:rPr>
        <w:t xml:space="preserve">Tento program slouží k podpoře </w:t>
      </w:r>
      <w:r w:rsidRPr="00D57D3F">
        <w:rPr>
          <w:bCs/>
        </w:rPr>
        <w:t>systému nakládání s vybranými autovraky prostřednictvím sítě schválených zpracovatelských zařízení. Výzv</w:t>
      </w:r>
      <w:r w:rsidR="00696D60" w:rsidRPr="00D57D3F">
        <w:rPr>
          <w:bCs/>
        </w:rPr>
        <w:t xml:space="preserve">y jsou </w:t>
      </w:r>
      <w:r w:rsidRPr="00D57D3F">
        <w:rPr>
          <w:bCs/>
        </w:rPr>
        <w:t>zaměřen</w:t>
      </w:r>
      <w:r w:rsidR="00696D60" w:rsidRPr="00D57D3F">
        <w:rPr>
          <w:bCs/>
        </w:rPr>
        <w:t>y</w:t>
      </w:r>
      <w:r w:rsidRPr="00D57D3F">
        <w:rPr>
          <w:bCs/>
        </w:rPr>
        <w:t xml:space="preserve"> </w:t>
      </w:r>
      <w:r w:rsidR="00696D60" w:rsidRPr="00D57D3F">
        <w:rPr>
          <w:bCs/>
        </w:rPr>
        <w:t xml:space="preserve">na </w:t>
      </w:r>
      <w:r w:rsidRPr="00D57D3F">
        <w:rPr>
          <w:bCs/>
        </w:rPr>
        <w:t>materiálové nebo energetické využití odpadů vzniklých zpracováním autovraků (plastů, skla, pneumatik a textilu).</w:t>
      </w:r>
      <w:r>
        <w:rPr>
          <w:bCs/>
        </w:rPr>
        <w:t xml:space="preserve"> </w:t>
      </w:r>
    </w:p>
    <w:p w:rsidR="00D429CC" w:rsidRPr="00A56CA2" w:rsidRDefault="008C12E6" w:rsidP="00D429CC">
      <w:pPr>
        <w:rPr>
          <w:b/>
        </w:rPr>
      </w:pPr>
      <w:r w:rsidRPr="00A56CA2">
        <w:rPr>
          <w:b/>
        </w:rPr>
        <w:t>Graf</w:t>
      </w:r>
      <w:r w:rsidR="00FA1467" w:rsidRPr="00A56CA2">
        <w:rPr>
          <w:b/>
        </w:rPr>
        <w:t xml:space="preserve"> </w:t>
      </w:r>
      <w:r w:rsidR="00D57D3F" w:rsidRPr="00A56CA2">
        <w:rPr>
          <w:b/>
        </w:rPr>
        <w:t>6</w:t>
      </w:r>
      <w:r w:rsidR="00D22AF5" w:rsidRPr="00A56CA2">
        <w:rPr>
          <w:b/>
        </w:rPr>
        <w:t>:</w:t>
      </w:r>
    </w:p>
    <w:p w:rsidR="00D429CC" w:rsidRPr="003D577C" w:rsidRDefault="008C12E6" w:rsidP="00B45C0C">
      <w:pPr>
        <w:spacing w:after="120"/>
        <w:rPr>
          <w:b/>
        </w:rPr>
      </w:pPr>
      <w:r w:rsidRPr="00A56CA2">
        <w:rPr>
          <w:b/>
        </w:rPr>
        <w:t>Počet zprac</w:t>
      </w:r>
      <w:r w:rsidRPr="00A56CA2">
        <w:rPr>
          <w:b/>
        </w:rPr>
        <w:t>ovaných</w:t>
      </w:r>
      <w:r w:rsidRPr="003D577C">
        <w:rPr>
          <w:b/>
        </w:rPr>
        <w:t xml:space="preserve"> vybraných autovraků podle systému MA ISOH v ČR [ks], </w:t>
      </w:r>
      <w:r w:rsidR="004963FB" w:rsidRPr="003D577C">
        <w:rPr>
          <w:b/>
        </w:rPr>
        <w:t>20</w:t>
      </w:r>
      <w:r w:rsidR="004963FB">
        <w:rPr>
          <w:b/>
        </w:rPr>
        <w:t>12–2020</w:t>
      </w:r>
    </w:p>
    <w:p w:rsidR="00E4427D" w:rsidRDefault="008C12E6" w:rsidP="00D429CC">
      <w:pPr>
        <w:rPr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5038725" cy="3019425"/>
            <wp:effectExtent l="0" t="0" r="9525" b="952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48C16C20-2014-4740-8FF6-F01F21F97F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6E70" w:rsidRDefault="008C12E6" w:rsidP="00116E70">
      <w:pPr>
        <w:spacing w:before="120"/>
        <w:rPr>
          <w:i/>
          <w:sz w:val="18"/>
          <w:szCs w:val="18"/>
        </w:rPr>
      </w:pPr>
      <w:r w:rsidRPr="00C50584">
        <w:rPr>
          <w:i/>
          <w:sz w:val="18"/>
          <w:szCs w:val="18"/>
        </w:rPr>
        <w:t xml:space="preserve">Zdroj: </w:t>
      </w:r>
      <w:r w:rsidR="00F50F04">
        <w:rPr>
          <w:i/>
          <w:sz w:val="18"/>
          <w:szCs w:val="18"/>
        </w:rPr>
        <w:t>MAISOH</w:t>
      </w:r>
      <w:r w:rsidR="00F65386">
        <w:rPr>
          <w:i/>
          <w:sz w:val="18"/>
          <w:szCs w:val="18"/>
        </w:rPr>
        <w:t>,</w:t>
      </w:r>
      <w:r w:rsidR="00F50F04">
        <w:rPr>
          <w:i/>
          <w:sz w:val="18"/>
          <w:szCs w:val="18"/>
        </w:rPr>
        <w:t xml:space="preserve"> </w:t>
      </w:r>
      <w:r w:rsidRPr="00C50584">
        <w:rPr>
          <w:i/>
          <w:sz w:val="18"/>
          <w:szCs w:val="18"/>
        </w:rPr>
        <w:t>MŽP</w:t>
      </w:r>
    </w:p>
    <w:p w:rsidR="00FA6407" w:rsidRPr="00D57D3F" w:rsidRDefault="008C12E6" w:rsidP="00F60E51">
      <w:pPr>
        <w:spacing w:after="120" w:line="276" w:lineRule="auto"/>
        <w:rPr>
          <w:b/>
          <w:bCs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lastRenderedPageBreak/>
        <w:t xml:space="preserve">Další </w:t>
      </w:r>
      <w:r w:rsidRPr="00D57D3F">
        <w:rPr>
          <w:b/>
          <w:bCs/>
          <w:sz w:val="26"/>
          <w:szCs w:val="26"/>
          <w:u w:val="single"/>
        </w:rPr>
        <w:t>odpadové toky</w:t>
      </w:r>
    </w:p>
    <w:p w:rsidR="007B306E" w:rsidRPr="00D57D3F" w:rsidRDefault="008C12E6" w:rsidP="00A00EB7">
      <w:pPr>
        <w:spacing w:after="60" w:line="276" w:lineRule="auto"/>
        <w:rPr>
          <w:bCs/>
        </w:rPr>
      </w:pPr>
      <w:r w:rsidRPr="00D57D3F">
        <w:rPr>
          <w:rFonts w:ascii="Calibri" w:hAnsi="Calibri" w:cs="Calibri,Bold-OneByteIdentityH"/>
          <w:b/>
          <w:bCs/>
          <w:color w:val="000000"/>
          <w:szCs w:val="24"/>
        </w:rPr>
        <w:t>Kaly z čistíren komunálních odpadních vod</w:t>
      </w:r>
    </w:p>
    <w:p w:rsidR="00CC5264" w:rsidRPr="00D57D3F" w:rsidRDefault="008C12E6" w:rsidP="00F12E8F">
      <w:pPr>
        <w:spacing w:line="276" w:lineRule="auto"/>
        <w:rPr>
          <w:bCs/>
        </w:rPr>
      </w:pPr>
      <w:r w:rsidRPr="00D57D3F">
        <w:rPr>
          <w:bCs/>
        </w:rPr>
        <w:t>Produkce kal</w:t>
      </w:r>
      <w:r w:rsidR="00731BB7" w:rsidRPr="00D57D3F">
        <w:rPr>
          <w:bCs/>
        </w:rPr>
        <w:t>u 19 08 05</w:t>
      </w:r>
      <w:r w:rsidRPr="00D57D3F">
        <w:rPr>
          <w:bCs/>
        </w:rPr>
        <w:t xml:space="preserve"> z</w:t>
      </w:r>
      <w:r w:rsidR="00663049" w:rsidRPr="00D57D3F">
        <w:rPr>
          <w:bCs/>
        </w:rPr>
        <w:t> čistíren odpadních vod (dále jen „</w:t>
      </w:r>
      <w:r w:rsidRPr="00D57D3F">
        <w:rPr>
          <w:bCs/>
        </w:rPr>
        <w:t>ČOV</w:t>
      </w:r>
      <w:r w:rsidR="00663049" w:rsidRPr="00D57D3F">
        <w:rPr>
          <w:bCs/>
        </w:rPr>
        <w:t xml:space="preserve">“) </w:t>
      </w:r>
      <w:r w:rsidR="00781765" w:rsidRPr="00D57D3F">
        <w:rPr>
          <w:bCs/>
        </w:rPr>
        <w:t>v roce 20</w:t>
      </w:r>
      <w:r w:rsidR="002D7C30" w:rsidRPr="00D57D3F">
        <w:rPr>
          <w:bCs/>
        </w:rPr>
        <w:t>20</w:t>
      </w:r>
      <w:r w:rsidR="00781765" w:rsidRPr="00D57D3F">
        <w:rPr>
          <w:bCs/>
        </w:rPr>
        <w:t xml:space="preserve"> byla </w:t>
      </w:r>
      <w:r w:rsidR="00254B49" w:rsidRPr="00D57D3F">
        <w:rPr>
          <w:bCs/>
        </w:rPr>
        <w:t>1</w:t>
      </w:r>
      <w:r w:rsidR="00787152" w:rsidRPr="00D57D3F">
        <w:rPr>
          <w:bCs/>
        </w:rPr>
        <w:t>58</w:t>
      </w:r>
      <w:r w:rsidR="00781765" w:rsidRPr="00D57D3F">
        <w:rPr>
          <w:bCs/>
        </w:rPr>
        <w:t xml:space="preserve"> tis. tun</w:t>
      </w:r>
      <w:r w:rsidR="00254B49" w:rsidRPr="00D57D3F">
        <w:rPr>
          <w:bCs/>
        </w:rPr>
        <w:t>, oproti roku 201</w:t>
      </w:r>
      <w:r w:rsidR="002D7C30" w:rsidRPr="00D57D3F">
        <w:rPr>
          <w:bCs/>
        </w:rPr>
        <w:t>9</w:t>
      </w:r>
      <w:r w:rsidR="00254B49" w:rsidRPr="00D57D3F">
        <w:rPr>
          <w:bCs/>
        </w:rPr>
        <w:t xml:space="preserve"> mírně </w:t>
      </w:r>
      <w:r w:rsidR="002A5655" w:rsidRPr="00D57D3F">
        <w:rPr>
          <w:bCs/>
        </w:rPr>
        <w:t>klesla</w:t>
      </w:r>
      <w:r w:rsidR="00254B49" w:rsidRPr="00D57D3F">
        <w:rPr>
          <w:bCs/>
        </w:rPr>
        <w:t xml:space="preserve"> (</w:t>
      </w:r>
      <w:r w:rsidR="00781765" w:rsidRPr="00D57D3F">
        <w:rPr>
          <w:bCs/>
        </w:rPr>
        <w:t>1</w:t>
      </w:r>
      <w:r w:rsidR="00787152" w:rsidRPr="00D57D3F">
        <w:rPr>
          <w:bCs/>
        </w:rPr>
        <w:t>63</w:t>
      </w:r>
      <w:r w:rsidR="00781765" w:rsidRPr="00D57D3F">
        <w:rPr>
          <w:bCs/>
        </w:rPr>
        <w:t xml:space="preserve"> tis. tun</w:t>
      </w:r>
      <w:r w:rsidR="00254B49" w:rsidRPr="00D57D3F">
        <w:rPr>
          <w:bCs/>
        </w:rPr>
        <w:t>)</w:t>
      </w:r>
      <w:r w:rsidR="00781765" w:rsidRPr="00D57D3F">
        <w:rPr>
          <w:bCs/>
        </w:rPr>
        <w:t xml:space="preserve">. </w:t>
      </w:r>
      <w:r w:rsidRPr="00D57D3F">
        <w:rPr>
          <w:bCs/>
        </w:rPr>
        <w:t>Nejčastějšími způsoby nakládání s kalem 19 08 05 z ČOV v ČR je kompostování a přímá aplikace na zemědělskou půdu</w:t>
      </w:r>
      <w:r w:rsidR="00ED2ECF" w:rsidRPr="00D57D3F">
        <w:rPr>
          <w:bCs/>
        </w:rPr>
        <w:t xml:space="preserve">, což v roce 2020 bylo 26 %. </w:t>
      </w:r>
      <w:r w:rsidRPr="00D57D3F">
        <w:rPr>
          <w:bCs/>
        </w:rPr>
        <w:t xml:space="preserve"> Zatím není kal 19 08 05 z ČOV nijak významně energeticky využíván, </w:t>
      </w:r>
      <w:r w:rsidR="00787152" w:rsidRPr="00D57D3F">
        <w:rPr>
          <w:bCs/>
        </w:rPr>
        <w:t xml:space="preserve">stále pohybuje </w:t>
      </w:r>
      <w:r w:rsidRPr="00D57D3F">
        <w:rPr>
          <w:bCs/>
        </w:rPr>
        <w:t>okolo 2</w:t>
      </w:r>
      <w:r w:rsidR="00787152" w:rsidRPr="00D57D3F">
        <w:rPr>
          <w:bCs/>
        </w:rPr>
        <w:t xml:space="preserve">-3 % i v </w:t>
      </w:r>
      <w:r w:rsidRPr="00D57D3F">
        <w:rPr>
          <w:bCs/>
        </w:rPr>
        <w:t>roce 20</w:t>
      </w:r>
      <w:r w:rsidR="002D7C30" w:rsidRPr="00D57D3F">
        <w:rPr>
          <w:bCs/>
        </w:rPr>
        <w:t>20</w:t>
      </w:r>
      <w:r w:rsidRPr="00D57D3F">
        <w:rPr>
          <w:bCs/>
        </w:rPr>
        <w:t>.</w:t>
      </w:r>
    </w:p>
    <w:p w:rsidR="00781765" w:rsidRPr="00D57D3F" w:rsidRDefault="008C12E6" w:rsidP="00F12E8F">
      <w:pPr>
        <w:spacing w:line="276" w:lineRule="auto"/>
        <w:rPr>
          <w:bCs/>
        </w:rPr>
      </w:pPr>
      <w:r w:rsidRPr="00D57D3F">
        <w:rPr>
          <w:bCs/>
        </w:rPr>
        <w:t xml:space="preserve">Kompostování </w:t>
      </w:r>
      <w:r w:rsidR="002D7C30" w:rsidRPr="00D57D3F">
        <w:rPr>
          <w:bCs/>
        </w:rPr>
        <w:t xml:space="preserve">včetně </w:t>
      </w:r>
      <w:r w:rsidRPr="00D57D3F">
        <w:rPr>
          <w:bCs/>
        </w:rPr>
        <w:t xml:space="preserve">čistírenských kalů </w:t>
      </w:r>
      <w:r w:rsidR="008A4C3E" w:rsidRPr="00D57D3F">
        <w:rPr>
          <w:bCs/>
        </w:rPr>
        <w:t xml:space="preserve">bylo v roce 2020 </w:t>
      </w:r>
      <w:r w:rsidRPr="00D57D3F">
        <w:rPr>
          <w:bCs/>
        </w:rPr>
        <w:t xml:space="preserve">upraveno </w:t>
      </w:r>
      <w:r w:rsidR="008A4C3E" w:rsidRPr="00D57D3F">
        <w:rPr>
          <w:bCs/>
        </w:rPr>
        <w:t xml:space="preserve">vyhláškou </w:t>
      </w:r>
      <w:r w:rsidR="00991F41" w:rsidRPr="00D57D3F">
        <w:rPr>
          <w:bCs/>
        </w:rPr>
        <w:t>č. 341/2008 Sb., o podrobnostech nakládání s biologicky rozložitelnými odpady, ve znění pozdějších předpisů</w:t>
      </w:r>
      <w:r w:rsidR="008A4C3E" w:rsidRPr="00D57D3F">
        <w:rPr>
          <w:bCs/>
        </w:rPr>
        <w:t xml:space="preserve">. Ve formě kompostů je na základě stanovených kritérií účinnosti </w:t>
      </w:r>
      <w:proofErr w:type="spellStart"/>
      <w:r w:rsidR="008A4C3E" w:rsidRPr="00D57D3F">
        <w:rPr>
          <w:bCs/>
        </w:rPr>
        <w:t>hygienizace</w:t>
      </w:r>
      <w:proofErr w:type="spellEnd"/>
      <w:r w:rsidR="008A4C3E" w:rsidRPr="00D57D3F">
        <w:rPr>
          <w:bCs/>
        </w:rPr>
        <w:t xml:space="preserve"> a na základě zjištění kvality výstupu možné využít kal na zemědělskou půdu nebo k rekultivaci. </w:t>
      </w:r>
      <w:r w:rsidR="00991F41" w:rsidRPr="00D57D3F">
        <w:rPr>
          <w:bCs/>
        </w:rPr>
        <w:t>Přímou aplikaci na zemědělskou půdu uprav</w:t>
      </w:r>
      <w:r w:rsidR="008A4C3E" w:rsidRPr="00D57D3F">
        <w:rPr>
          <w:bCs/>
        </w:rPr>
        <w:t xml:space="preserve">ovala </w:t>
      </w:r>
      <w:r w:rsidR="00991F41" w:rsidRPr="00D57D3F">
        <w:rPr>
          <w:bCs/>
        </w:rPr>
        <w:t xml:space="preserve">vyhláška č. 437/2016 Sb., o podmínkách použití upravených kalů na zemědělské půdě. V roce 2020 byla připravena nová vyhláška </w:t>
      </w:r>
      <w:r w:rsidRPr="00D57D3F">
        <w:rPr>
          <w:bCs/>
        </w:rPr>
        <w:t>o podrobnostech nakládání s</w:t>
      </w:r>
      <w:r w:rsidR="002D7C30" w:rsidRPr="00D57D3F">
        <w:rPr>
          <w:bCs/>
        </w:rPr>
        <w:t> odpady.</w:t>
      </w:r>
      <w:r w:rsidR="002A5655" w:rsidRPr="00D57D3F">
        <w:rPr>
          <w:bCs/>
        </w:rPr>
        <w:t xml:space="preserve"> </w:t>
      </w:r>
      <w:r w:rsidR="002D7C30" w:rsidRPr="00D57D3F">
        <w:rPr>
          <w:bCs/>
        </w:rPr>
        <w:t xml:space="preserve">Legislativa dostatečně stanovuje </w:t>
      </w:r>
      <w:r w:rsidRPr="00D57D3F">
        <w:rPr>
          <w:bCs/>
        </w:rPr>
        <w:t xml:space="preserve">kontrolní mechanismy pro </w:t>
      </w:r>
      <w:r w:rsidR="00731BB7" w:rsidRPr="00D57D3F">
        <w:rPr>
          <w:bCs/>
        </w:rPr>
        <w:t xml:space="preserve">zajištění </w:t>
      </w:r>
      <w:r w:rsidRPr="00D57D3F">
        <w:rPr>
          <w:bCs/>
        </w:rPr>
        <w:t>kvalit</w:t>
      </w:r>
      <w:r w:rsidR="00731BB7" w:rsidRPr="00D57D3F">
        <w:rPr>
          <w:bCs/>
        </w:rPr>
        <w:t>y</w:t>
      </w:r>
      <w:r w:rsidRPr="00D57D3F">
        <w:rPr>
          <w:bCs/>
        </w:rPr>
        <w:t xml:space="preserve"> a bezpečnost</w:t>
      </w:r>
      <w:r w:rsidR="00731BB7" w:rsidRPr="00D57D3F">
        <w:rPr>
          <w:bCs/>
        </w:rPr>
        <w:t>i</w:t>
      </w:r>
      <w:r w:rsidRPr="00D57D3F">
        <w:rPr>
          <w:bCs/>
        </w:rPr>
        <w:t xml:space="preserve"> kalů</w:t>
      </w:r>
      <w:r w:rsidR="0090454A" w:rsidRPr="00D57D3F">
        <w:rPr>
          <w:bCs/>
        </w:rPr>
        <w:t xml:space="preserve">. </w:t>
      </w:r>
      <w:r w:rsidRPr="00D57D3F">
        <w:rPr>
          <w:bCs/>
        </w:rPr>
        <w:t>Vyhláška podporuje použití upravenýc</w:t>
      </w:r>
      <w:r w:rsidRPr="00D57D3F">
        <w:rPr>
          <w:bCs/>
        </w:rPr>
        <w:t xml:space="preserve">h kalů na zemědělské půdě tak, aby nebylo ohroženo lidské zdraví a životní prostředí. </w:t>
      </w:r>
    </w:p>
    <w:p w:rsidR="003B1009" w:rsidRPr="00D57D3F" w:rsidRDefault="008C12E6" w:rsidP="00174A8A">
      <w:pPr>
        <w:spacing w:line="276" w:lineRule="auto"/>
        <w:rPr>
          <w:bCs/>
        </w:rPr>
      </w:pPr>
      <w:r w:rsidRPr="00D57D3F">
        <w:rPr>
          <w:bCs/>
        </w:rPr>
        <w:t xml:space="preserve">V letech 2019 a 2020 probíhaly investice do </w:t>
      </w:r>
      <w:proofErr w:type="spellStart"/>
      <w:r w:rsidR="00174A8A" w:rsidRPr="00D57D3F">
        <w:rPr>
          <w:bCs/>
        </w:rPr>
        <w:t>hygienizačních</w:t>
      </w:r>
      <w:proofErr w:type="spellEnd"/>
      <w:r w:rsidR="00174A8A" w:rsidRPr="00D57D3F">
        <w:rPr>
          <w:bCs/>
        </w:rPr>
        <w:t xml:space="preserve"> jednotek</w:t>
      </w:r>
      <w:r w:rsidRPr="00D57D3F">
        <w:rPr>
          <w:bCs/>
        </w:rPr>
        <w:t xml:space="preserve">, ale </w:t>
      </w:r>
      <w:r w:rsidR="00174A8A" w:rsidRPr="00D57D3F">
        <w:rPr>
          <w:bCs/>
        </w:rPr>
        <w:t xml:space="preserve">cesta termického zpracování kalů z ČOV není v současnosti </w:t>
      </w:r>
      <w:r w:rsidR="007774A9">
        <w:rPr>
          <w:bCs/>
        </w:rPr>
        <w:t xml:space="preserve">příliš </w:t>
      </w:r>
      <w:r w:rsidR="00174A8A" w:rsidRPr="00D57D3F">
        <w:rPr>
          <w:bCs/>
        </w:rPr>
        <w:t>rozvinutá</w:t>
      </w:r>
      <w:r w:rsidRPr="00D57D3F">
        <w:rPr>
          <w:bCs/>
        </w:rPr>
        <w:t xml:space="preserve">. </w:t>
      </w:r>
      <w:r w:rsidR="00174A8A" w:rsidRPr="00D57D3F">
        <w:rPr>
          <w:bCs/>
        </w:rPr>
        <w:t xml:space="preserve">  </w:t>
      </w:r>
    </w:p>
    <w:p w:rsidR="00174A8A" w:rsidRPr="00D57D3F" w:rsidRDefault="008C12E6" w:rsidP="004D1841">
      <w:pPr>
        <w:spacing w:after="360" w:line="276" w:lineRule="auto"/>
        <w:rPr>
          <w:bCs/>
        </w:rPr>
      </w:pPr>
      <w:r w:rsidRPr="00D57D3F">
        <w:rPr>
          <w:bCs/>
        </w:rPr>
        <w:t>V příštích letech</w:t>
      </w:r>
      <w:r w:rsidRPr="00D57D3F">
        <w:rPr>
          <w:bCs/>
        </w:rPr>
        <w:t xml:space="preserve"> </w:t>
      </w:r>
      <w:r w:rsidR="005F1036" w:rsidRPr="00D57D3F">
        <w:rPr>
          <w:bCs/>
        </w:rPr>
        <w:t xml:space="preserve">se </w:t>
      </w:r>
      <w:r w:rsidRPr="00D57D3F">
        <w:rPr>
          <w:bCs/>
        </w:rPr>
        <w:t xml:space="preserve">bude třeba </w:t>
      </w:r>
      <w:r w:rsidR="002D7C30" w:rsidRPr="00D57D3F">
        <w:rPr>
          <w:bCs/>
        </w:rPr>
        <w:t xml:space="preserve">dále </w:t>
      </w:r>
      <w:r w:rsidRPr="00D57D3F">
        <w:rPr>
          <w:bCs/>
        </w:rPr>
        <w:t xml:space="preserve">zaměřit na výzkum </w:t>
      </w:r>
      <w:r w:rsidR="002D7C30" w:rsidRPr="00D57D3F">
        <w:rPr>
          <w:bCs/>
        </w:rPr>
        <w:t xml:space="preserve">složení kalů a </w:t>
      </w:r>
      <w:r w:rsidRPr="00D57D3F">
        <w:rPr>
          <w:bCs/>
        </w:rPr>
        <w:t xml:space="preserve">možnosti </w:t>
      </w:r>
      <w:r w:rsidR="002D7C30" w:rsidRPr="00D57D3F">
        <w:rPr>
          <w:bCs/>
        </w:rPr>
        <w:t xml:space="preserve">jejich </w:t>
      </w:r>
      <w:r w:rsidRPr="00D57D3F">
        <w:rPr>
          <w:bCs/>
        </w:rPr>
        <w:t>využ</w:t>
      </w:r>
      <w:r w:rsidR="002D7C30" w:rsidRPr="00D57D3F">
        <w:rPr>
          <w:bCs/>
        </w:rPr>
        <w:t xml:space="preserve">ití. Počítáno je s podporou dalšího využívání čistírenských </w:t>
      </w:r>
      <w:r w:rsidRPr="00D57D3F">
        <w:rPr>
          <w:bCs/>
        </w:rPr>
        <w:t xml:space="preserve">kalů z OPŽP </w:t>
      </w:r>
      <w:r w:rsidR="00C20896" w:rsidRPr="00D57D3F">
        <w:rPr>
          <w:bCs/>
        </w:rPr>
        <w:t>2014–2020</w:t>
      </w:r>
      <w:r w:rsidRPr="00D57D3F">
        <w:rPr>
          <w:bCs/>
        </w:rPr>
        <w:t xml:space="preserve">. </w:t>
      </w:r>
    </w:p>
    <w:p w:rsidR="00703DE9" w:rsidRPr="00D57D3F" w:rsidRDefault="008C12E6" w:rsidP="00A00EB7">
      <w:pPr>
        <w:spacing w:after="60" w:line="276" w:lineRule="auto"/>
        <w:rPr>
          <w:bCs/>
        </w:rPr>
      </w:pPr>
      <w:r w:rsidRPr="00D57D3F">
        <w:rPr>
          <w:rFonts w:ascii="Calibri" w:hAnsi="Calibri" w:cs="Calibri,Bold-OneByteIdentityH"/>
          <w:b/>
          <w:bCs/>
          <w:szCs w:val="24"/>
        </w:rPr>
        <w:t>Biologick</w:t>
      </w:r>
      <w:r w:rsidR="0063134E" w:rsidRPr="00D57D3F">
        <w:rPr>
          <w:rFonts w:ascii="Calibri" w:hAnsi="Calibri" w:cs="Calibri,Bold-OneByteIdentityH"/>
          <w:b/>
          <w:bCs/>
          <w:szCs w:val="24"/>
        </w:rPr>
        <w:t xml:space="preserve">ý odpad </w:t>
      </w:r>
      <w:r w:rsidRPr="00D57D3F">
        <w:rPr>
          <w:rFonts w:ascii="Calibri" w:hAnsi="Calibri" w:cs="Calibri,Bold-OneByteIdentityH"/>
          <w:b/>
          <w:bCs/>
          <w:szCs w:val="24"/>
        </w:rPr>
        <w:t>z kuchyní a stravoven a vedlejší produkt</w:t>
      </w:r>
      <w:r w:rsidR="004D2FC1" w:rsidRPr="00D57D3F">
        <w:rPr>
          <w:rFonts w:ascii="Calibri" w:hAnsi="Calibri" w:cs="Calibri,Bold-OneByteIdentityH"/>
          <w:b/>
          <w:bCs/>
          <w:szCs w:val="24"/>
        </w:rPr>
        <w:t>y</w:t>
      </w:r>
      <w:r w:rsidRPr="00D57D3F">
        <w:rPr>
          <w:rFonts w:ascii="Calibri" w:hAnsi="Calibri" w:cs="Calibri,Bold-OneByteIdentityH"/>
          <w:b/>
          <w:bCs/>
          <w:szCs w:val="24"/>
        </w:rPr>
        <w:t xml:space="preserve"> živočišného původu</w:t>
      </w:r>
    </w:p>
    <w:p w:rsidR="000C1C99" w:rsidRPr="00D57D3F" w:rsidRDefault="008C12E6" w:rsidP="004A0179">
      <w:pPr>
        <w:spacing w:after="120" w:line="276" w:lineRule="auto"/>
        <w:rPr>
          <w:rFonts w:ascii="Calibri" w:hAnsi="Calibri" w:cstheme="minorHAnsi"/>
          <w:szCs w:val="24"/>
        </w:rPr>
      </w:pPr>
      <w:r w:rsidRPr="00D57D3F">
        <w:rPr>
          <w:rFonts w:ascii="Calibri" w:hAnsi="Calibri" w:cstheme="minorHAnsi"/>
          <w:szCs w:val="24"/>
        </w:rPr>
        <w:t>Snižování množství biologicky rozložitelných odpadů z kuchyní a stravoven a vedlejších produktů živočišného původu ve směsném komunálním odpadu, které pocházejí z veřejných stravovacích zařízení a centrálních kuchyní se postupně děje díky plnění základních</w:t>
      </w:r>
      <w:r w:rsidRPr="00D57D3F">
        <w:rPr>
          <w:rFonts w:ascii="Calibri" w:hAnsi="Calibri" w:cstheme="minorHAnsi"/>
          <w:szCs w:val="24"/>
        </w:rPr>
        <w:t xml:space="preserve"> povinností platného zákona o odpadech. Všichni původci jsou povinni oddělovat využitelné odpady </w:t>
      </w:r>
      <w:r w:rsidR="005F1036" w:rsidRPr="00D57D3F">
        <w:rPr>
          <w:rFonts w:ascii="Calibri" w:hAnsi="Calibri" w:cstheme="minorHAnsi"/>
          <w:szCs w:val="24"/>
        </w:rPr>
        <w:t xml:space="preserve">prostřednictvím </w:t>
      </w:r>
      <w:r w:rsidRPr="00D57D3F">
        <w:rPr>
          <w:rFonts w:ascii="Calibri" w:hAnsi="Calibri" w:cstheme="minorHAnsi"/>
          <w:szCs w:val="24"/>
        </w:rPr>
        <w:t xml:space="preserve">jejich třídění. </w:t>
      </w:r>
      <w:r w:rsidR="0083647D" w:rsidRPr="00D57D3F">
        <w:rPr>
          <w:rFonts w:ascii="Calibri" w:hAnsi="Calibri" w:cstheme="minorHAnsi"/>
          <w:szCs w:val="24"/>
        </w:rPr>
        <w:t xml:space="preserve">Přesto jsou stále rezervy v zajištění správného nakládání s těmito odpady. </w:t>
      </w:r>
      <w:r w:rsidRPr="00D57D3F">
        <w:rPr>
          <w:rFonts w:ascii="Calibri" w:hAnsi="Calibri" w:cstheme="minorHAnsi"/>
          <w:szCs w:val="24"/>
        </w:rPr>
        <w:t xml:space="preserve">V prvé řadě </w:t>
      </w:r>
      <w:r w:rsidR="005B48DC" w:rsidRPr="00D57D3F">
        <w:rPr>
          <w:rFonts w:ascii="Calibri" w:hAnsi="Calibri" w:cstheme="minorHAnsi"/>
          <w:szCs w:val="24"/>
        </w:rPr>
        <w:t xml:space="preserve">se </w:t>
      </w:r>
      <w:r w:rsidR="005F1036" w:rsidRPr="00D57D3F">
        <w:rPr>
          <w:rFonts w:ascii="Calibri" w:hAnsi="Calibri" w:cstheme="minorHAnsi"/>
          <w:szCs w:val="24"/>
        </w:rPr>
        <w:t xml:space="preserve">MŽP zaměřuje </w:t>
      </w:r>
      <w:r w:rsidRPr="00D57D3F">
        <w:rPr>
          <w:rFonts w:ascii="Calibri" w:hAnsi="Calibri" w:cstheme="minorHAnsi"/>
          <w:szCs w:val="24"/>
        </w:rPr>
        <w:t>na předcházení vzniku tě</w:t>
      </w:r>
      <w:r w:rsidRPr="00D57D3F">
        <w:rPr>
          <w:rFonts w:ascii="Calibri" w:hAnsi="Calibri" w:cstheme="minorHAnsi"/>
          <w:szCs w:val="24"/>
        </w:rPr>
        <w:t>chto odpadů a osvětu</w:t>
      </w:r>
      <w:r w:rsidR="005B48DC" w:rsidRPr="00D57D3F">
        <w:rPr>
          <w:rFonts w:ascii="Calibri" w:hAnsi="Calibri" w:cstheme="minorHAnsi"/>
          <w:szCs w:val="24"/>
        </w:rPr>
        <w:t>. Na</w:t>
      </w:r>
      <w:r w:rsidR="00E776DB" w:rsidRPr="00D57D3F">
        <w:rPr>
          <w:rFonts w:ascii="Calibri" w:hAnsi="Calibri" w:cstheme="minorHAnsi"/>
          <w:szCs w:val="24"/>
        </w:rPr>
        <w:t> </w:t>
      </w:r>
      <w:r w:rsidR="005B48DC" w:rsidRPr="00D57D3F">
        <w:rPr>
          <w:rFonts w:ascii="Calibri" w:hAnsi="Calibri" w:cstheme="minorHAnsi"/>
          <w:szCs w:val="24"/>
        </w:rPr>
        <w:t>odborných konferencích a seminářích zdůrazňuje</w:t>
      </w:r>
      <w:r w:rsidRPr="00D57D3F">
        <w:rPr>
          <w:rFonts w:ascii="Calibri" w:hAnsi="Calibri" w:cstheme="minorHAnsi"/>
          <w:szCs w:val="24"/>
        </w:rPr>
        <w:t xml:space="preserve"> MŽP </w:t>
      </w:r>
      <w:r w:rsidR="005B48DC" w:rsidRPr="00D57D3F">
        <w:rPr>
          <w:rFonts w:ascii="Calibri" w:hAnsi="Calibri" w:cstheme="minorHAnsi"/>
          <w:szCs w:val="24"/>
        </w:rPr>
        <w:t>potřebu správně nakládat s těmito odpady. K informování jsou rovněž využívány v minulosti připraven</w:t>
      </w:r>
      <w:r w:rsidR="00E776DB" w:rsidRPr="00D57D3F">
        <w:rPr>
          <w:rFonts w:ascii="Calibri" w:hAnsi="Calibri" w:cstheme="minorHAnsi"/>
          <w:szCs w:val="24"/>
        </w:rPr>
        <w:t>é</w:t>
      </w:r>
      <w:r w:rsidR="005B48DC" w:rsidRPr="00D57D3F">
        <w:rPr>
          <w:rFonts w:ascii="Calibri" w:hAnsi="Calibri" w:cstheme="minorHAnsi"/>
          <w:szCs w:val="24"/>
        </w:rPr>
        <w:t xml:space="preserve"> </w:t>
      </w:r>
      <w:r w:rsidRPr="00D57D3F">
        <w:rPr>
          <w:rFonts w:ascii="Calibri" w:hAnsi="Calibri" w:cstheme="minorHAnsi"/>
          <w:szCs w:val="24"/>
        </w:rPr>
        <w:t>metodick</w:t>
      </w:r>
      <w:r w:rsidR="005B48DC" w:rsidRPr="00D57D3F">
        <w:rPr>
          <w:rFonts w:ascii="Calibri" w:hAnsi="Calibri" w:cstheme="minorHAnsi"/>
          <w:szCs w:val="24"/>
        </w:rPr>
        <w:t>é</w:t>
      </w:r>
      <w:r w:rsidRPr="00D57D3F">
        <w:rPr>
          <w:rFonts w:ascii="Calibri" w:hAnsi="Calibri" w:cstheme="minorHAnsi"/>
          <w:szCs w:val="24"/>
        </w:rPr>
        <w:t xml:space="preserve"> </w:t>
      </w:r>
      <w:r w:rsidR="00E776DB" w:rsidRPr="00D57D3F">
        <w:rPr>
          <w:rFonts w:ascii="Calibri" w:hAnsi="Calibri" w:cstheme="minorHAnsi"/>
          <w:szCs w:val="24"/>
        </w:rPr>
        <w:t xml:space="preserve">podklady MŽP a </w:t>
      </w:r>
      <w:r w:rsidRPr="00D57D3F">
        <w:rPr>
          <w:rFonts w:ascii="Calibri" w:hAnsi="Calibri" w:cstheme="minorHAnsi"/>
          <w:szCs w:val="24"/>
        </w:rPr>
        <w:t>leták</w:t>
      </w:r>
      <w:r w:rsidR="00E776DB" w:rsidRPr="00D57D3F">
        <w:rPr>
          <w:rFonts w:ascii="Calibri" w:hAnsi="Calibri" w:cstheme="minorHAnsi"/>
          <w:szCs w:val="24"/>
        </w:rPr>
        <w:t>y</w:t>
      </w:r>
      <w:r w:rsidRPr="00D57D3F">
        <w:rPr>
          <w:rFonts w:ascii="Calibri" w:hAnsi="Calibri" w:cstheme="minorHAnsi"/>
          <w:szCs w:val="24"/>
        </w:rPr>
        <w:t xml:space="preserve"> pro původce</w:t>
      </w:r>
      <w:r w:rsidR="005B48DC" w:rsidRPr="00D57D3F">
        <w:rPr>
          <w:rFonts w:ascii="Calibri" w:hAnsi="Calibri" w:cstheme="minorHAnsi"/>
          <w:szCs w:val="24"/>
        </w:rPr>
        <w:t xml:space="preserve"> odpadů. </w:t>
      </w:r>
    </w:p>
    <w:p w:rsidR="001B6FCA" w:rsidRPr="00EB44C3" w:rsidRDefault="008C12E6" w:rsidP="001B6FCA">
      <w:pPr>
        <w:spacing w:line="276" w:lineRule="auto"/>
        <w:rPr>
          <w:bCs/>
        </w:rPr>
      </w:pPr>
      <w:bookmarkStart w:id="29" w:name="_Hlk101600937"/>
      <w:r w:rsidRPr="00D57D3F">
        <w:rPr>
          <w:bCs/>
        </w:rPr>
        <w:t xml:space="preserve">Vyhláška </w:t>
      </w:r>
      <w:r w:rsidR="004A0179" w:rsidRPr="00D57D3F">
        <w:rPr>
          <w:bCs/>
        </w:rPr>
        <w:t xml:space="preserve">č. 210/2018 Sb., kterou se změnila vyhláška č. 321/2014 Sb., o rozsahu a způsobu zajištění odděleného soustřeďování složek komunálních odpadů, zavedla </w:t>
      </w:r>
      <w:r w:rsidRPr="00D57D3F">
        <w:rPr>
          <w:bCs/>
        </w:rPr>
        <w:t>pro obce povinnost od 1. ledna 2020 zajistit celoročně místa pro oddělené soustřeďování odpadních jedlých olejů a tuků. V </w:t>
      </w:r>
      <w:r w:rsidRPr="00D57D3F">
        <w:rPr>
          <w:bCs/>
        </w:rPr>
        <w:t xml:space="preserve">důsledku této povinnosti a větší informovanosti o ní </w:t>
      </w:r>
      <w:r w:rsidR="0045610E" w:rsidRPr="00D57D3F">
        <w:rPr>
          <w:bCs/>
        </w:rPr>
        <w:t xml:space="preserve">ze strany </w:t>
      </w:r>
      <w:r w:rsidR="005F1036" w:rsidRPr="00D57D3F">
        <w:rPr>
          <w:bCs/>
        </w:rPr>
        <w:t xml:space="preserve">MŽP </w:t>
      </w:r>
      <w:r w:rsidR="004A0179" w:rsidRPr="00D57D3F">
        <w:rPr>
          <w:bCs/>
        </w:rPr>
        <w:t>se již v roce 2020 dařilo také více zapojovat do obecních systémů i např. školní jídelny. V</w:t>
      </w:r>
      <w:r w:rsidR="0098750F">
        <w:rPr>
          <w:bCs/>
        </w:rPr>
        <w:t xml:space="preserve"> letech </w:t>
      </w:r>
      <w:r w:rsidR="00D63231">
        <w:rPr>
          <w:bCs/>
        </w:rPr>
        <w:t xml:space="preserve">2019-2020 </w:t>
      </w:r>
      <w:r w:rsidR="004A0179" w:rsidRPr="00D57D3F">
        <w:rPr>
          <w:bCs/>
        </w:rPr>
        <w:t>došlo ke</w:t>
      </w:r>
      <w:r w:rsidR="00F513E9" w:rsidRPr="00D57D3F">
        <w:rPr>
          <w:bCs/>
        </w:rPr>
        <w:t xml:space="preserve"> </w:t>
      </w:r>
      <w:r w:rsidRPr="00D57D3F">
        <w:rPr>
          <w:bCs/>
        </w:rPr>
        <w:t xml:space="preserve">zvýšení </w:t>
      </w:r>
      <w:r w:rsidR="00F513E9" w:rsidRPr="00D57D3F">
        <w:rPr>
          <w:bCs/>
        </w:rPr>
        <w:t xml:space="preserve">sebraných a využitých </w:t>
      </w:r>
      <w:r w:rsidRPr="00D57D3F">
        <w:rPr>
          <w:bCs/>
        </w:rPr>
        <w:t xml:space="preserve">odpadních jedlých olejů a tuků </w:t>
      </w:r>
      <w:r w:rsidR="002B5F81">
        <w:rPr>
          <w:bCs/>
        </w:rPr>
        <w:t>(</w:t>
      </w:r>
      <w:r w:rsidR="00CA47B1">
        <w:rPr>
          <w:bCs/>
        </w:rPr>
        <w:t>12</w:t>
      </w:r>
      <w:r w:rsidR="002B5F81">
        <w:rPr>
          <w:bCs/>
        </w:rPr>
        <w:t xml:space="preserve"> tis. t) </w:t>
      </w:r>
      <w:r w:rsidRPr="00D57D3F">
        <w:rPr>
          <w:bCs/>
        </w:rPr>
        <w:t>a ke snížení negativních účinků na lidské zdraví a životní prostředí.</w:t>
      </w:r>
    </w:p>
    <w:p w:rsidR="0045610E" w:rsidRPr="00D57D3F" w:rsidRDefault="008C12E6" w:rsidP="00723F8B">
      <w:pPr>
        <w:spacing w:after="360" w:line="276" w:lineRule="auto"/>
        <w:rPr>
          <w:b/>
          <w:bCs/>
        </w:rPr>
      </w:pPr>
      <w:r w:rsidRPr="00D57D3F">
        <w:rPr>
          <w:bCs/>
        </w:rPr>
        <w:lastRenderedPageBreak/>
        <w:t>V letech 2019 a 2020 se MŽP také zaměřilo na osvětu a zvýšení informovanosti o předcházení vzniku potravinových odpadů a správném nakládání s nimi. Tyto odpady se přesto stále o</w:t>
      </w:r>
      <w:r w:rsidRPr="00D57D3F">
        <w:rPr>
          <w:bCs/>
        </w:rPr>
        <w:t>bjevují ve směsném komunálním odpadu.</w:t>
      </w:r>
    </w:p>
    <w:bookmarkEnd w:id="29"/>
    <w:p w:rsidR="00BB728C" w:rsidRPr="00D57D3F" w:rsidRDefault="008C12E6" w:rsidP="004E2C05">
      <w:pPr>
        <w:spacing w:after="60"/>
        <w:rPr>
          <w:b/>
          <w:bCs/>
        </w:rPr>
      </w:pPr>
      <w:r w:rsidRPr="00D57D3F">
        <w:rPr>
          <w:b/>
          <w:bCs/>
        </w:rPr>
        <w:t>Odpady ze zdravotnictví a veterinární péče</w:t>
      </w:r>
    </w:p>
    <w:p w:rsidR="00BB728C" w:rsidRPr="00D57D3F" w:rsidRDefault="008C12E6" w:rsidP="00585BC5">
      <w:pPr>
        <w:spacing w:after="120" w:line="276" w:lineRule="auto"/>
        <w:rPr>
          <w:rFonts w:cstheme="minorHAnsi"/>
          <w:szCs w:val="24"/>
        </w:rPr>
      </w:pPr>
      <w:r w:rsidRPr="00D57D3F">
        <w:rPr>
          <w:rFonts w:cstheme="minorHAnsi"/>
          <w:szCs w:val="24"/>
        </w:rPr>
        <w:t>Produkce odpadů ze zdravotnictví a veterinární péče se dlouhodobě pohyb</w:t>
      </w:r>
      <w:r w:rsidR="00D710E9">
        <w:rPr>
          <w:rFonts w:cstheme="minorHAnsi"/>
          <w:szCs w:val="24"/>
        </w:rPr>
        <w:t xml:space="preserve">ovala </w:t>
      </w:r>
      <w:r w:rsidRPr="00D57D3F">
        <w:rPr>
          <w:rFonts w:cstheme="minorHAnsi"/>
          <w:szCs w:val="24"/>
        </w:rPr>
        <w:t>okolo 4</w:t>
      </w:r>
      <w:r w:rsidR="004F733C" w:rsidRPr="00D57D3F">
        <w:rPr>
          <w:rFonts w:cstheme="minorHAnsi"/>
          <w:szCs w:val="24"/>
        </w:rPr>
        <w:t>5</w:t>
      </w:r>
      <w:r w:rsidRPr="00D57D3F">
        <w:rPr>
          <w:rFonts w:cstheme="minorHAnsi"/>
          <w:szCs w:val="24"/>
        </w:rPr>
        <w:t> tis. t. V roce 201</w:t>
      </w:r>
      <w:r w:rsidR="0092240D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produkce byla 4</w:t>
      </w:r>
      <w:r w:rsidR="00252C6F" w:rsidRPr="00D57D3F">
        <w:rPr>
          <w:rFonts w:cstheme="minorHAnsi"/>
          <w:szCs w:val="24"/>
        </w:rPr>
        <w:t>5</w:t>
      </w:r>
      <w:r w:rsidR="00723F8B" w:rsidRPr="00D57D3F">
        <w:rPr>
          <w:rFonts w:cstheme="minorHAnsi"/>
          <w:szCs w:val="24"/>
        </w:rPr>
        <w:t>,</w:t>
      </w:r>
      <w:r w:rsidR="00252C6F" w:rsidRPr="00D57D3F">
        <w:rPr>
          <w:rFonts w:cstheme="minorHAnsi"/>
          <w:szCs w:val="24"/>
        </w:rPr>
        <w:t>3</w:t>
      </w:r>
      <w:r w:rsidR="00723F8B" w:rsidRPr="00D57D3F">
        <w:rPr>
          <w:rFonts w:cstheme="minorHAnsi"/>
          <w:szCs w:val="24"/>
        </w:rPr>
        <w:t xml:space="preserve"> tis. </w:t>
      </w:r>
      <w:r w:rsidRPr="00D57D3F">
        <w:rPr>
          <w:rFonts w:cstheme="minorHAnsi"/>
          <w:szCs w:val="24"/>
        </w:rPr>
        <w:t>t a v roce 20</w:t>
      </w:r>
      <w:r w:rsidR="0092240D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činila 4</w:t>
      </w:r>
      <w:r w:rsidR="00252C6F" w:rsidRPr="00D57D3F">
        <w:rPr>
          <w:rFonts w:cstheme="minorHAnsi"/>
          <w:szCs w:val="24"/>
        </w:rPr>
        <w:t>6,4</w:t>
      </w:r>
      <w:r w:rsidR="00723F8B" w:rsidRPr="00D57D3F">
        <w:rPr>
          <w:rFonts w:cstheme="minorHAnsi"/>
          <w:szCs w:val="24"/>
        </w:rPr>
        <w:t xml:space="preserve"> tis. </w:t>
      </w:r>
      <w:r w:rsidRPr="00D57D3F">
        <w:rPr>
          <w:rFonts w:cstheme="minorHAnsi"/>
          <w:szCs w:val="24"/>
        </w:rPr>
        <w:t xml:space="preserve">t. </w:t>
      </w:r>
      <w:r w:rsidR="004F733C" w:rsidRPr="00D57D3F">
        <w:rPr>
          <w:rFonts w:cstheme="minorHAnsi"/>
          <w:szCs w:val="24"/>
        </w:rPr>
        <w:t>Mírný n</w:t>
      </w:r>
      <w:r w:rsidR="00B02667" w:rsidRPr="00D57D3F">
        <w:rPr>
          <w:rFonts w:cstheme="minorHAnsi"/>
          <w:szCs w:val="24"/>
        </w:rPr>
        <w:t xml:space="preserve">árůst produkce těchto odpadů v letech 2019-2020 je </w:t>
      </w:r>
      <w:r w:rsidR="00D710E9">
        <w:rPr>
          <w:rFonts w:cstheme="minorHAnsi"/>
          <w:szCs w:val="24"/>
        </w:rPr>
        <w:t xml:space="preserve">pravděpodobně </w:t>
      </w:r>
      <w:r w:rsidR="00B02667" w:rsidRPr="00D57D3F">
        <w:rPr>
          <w:rFonts w:cstheme="minorHAnsi"/>
          <w:szCs w:val="24"/>
        </w:rPr>
        <w:t>způsoben pandemií COVID-19</w:t>
      </w:r>
      <w:r w:rsidR="004F733C" w:rsidRPr="00D57D3F">
        <w:rPr>
          <w:rFonts w:cstheme="minorHAnsi"/>
          <w:szCs w:val="24"/>
        </w:rPr>
        <w:t>, jedná cca o 2 % zvýšení</w:t>
      </w:r>
      <w:r w:rsidR="00D710E9">
        <w:rPr>
          <w:rFonts w:cstheme="minorHAnsi"/>
          <w:szCs w:val="24"/>
        </w:rPr>
        <w:t xml:space="preserve"> (c</w:t>
      </w:r>
      <w:r w:rsidR="00BA52E2" w:rsidRPr="00D57D3F">
        <w:rPr>
          <w:rFonts w:cstheme="minorHAnsi"/>
          <w:szCs w:val="24"/>
        </w:rPr>
        <w:t>ca 1 tis. tun</w:t>
      </w:r>
      <w:r w:rsidR="00D710E9">
        <w:rPr>
          <w:rFonts w:cstheme="minorHAnsi"/>
          <w:szCs w:val="24"/>
        </w:rPr>
        <w:t>).</w:t>
      </w:r>
      <w:r w:rsidRPr="00D57D3F">
        <w:rPr>
          <w:rFonts w:cstheme="minorHAnsi"/>
          <w:szCs w:val="24"/>
        </w:rPr>
        <w:t xml:space="preserve"> </w:t>
      </w:r>
      <w:r w:rsidR="00BA52E2" w:rsidRPr="00D57D3F">
        <w:rPr>
          <w:rFonts w:cstheme="minorHAnsi"/>
          <w:szCs w:val="24"/>
        </w:rPr>
        <w:t xml:space="preserve">Jedná se zejména o odpad ze zdravotní péče vznikající v souvislosti s pandemií </w:t>
      </w:r>
      <w:proofErr w:type="spellStart"/>
      <w:r w:rsidR="00BA52E2" w:rsidRPr="00D57D3F">
        <w:rPr>
          <w:rFonts w:cstheme="minorHAnsi"/>
          <w:szCs w:val="24"/>
        </w:rPr>
        <w:t>koronaviru</w:t>
      </w:r>
      <w:proofErr w:type="spellEnd"/>
      <w:r w:rsidR="004F733C" w:rsidRPr="00D57D3F">
        <w:rPr>
          <w:rFonts w:cstheme="minorHAnsi"/>
          <w:szCs w:val="24"/>
        </w:rPr>
        <w:t>.</w:t>
      </w:r>
      <w:r w:rsidR="00BA52E2" w:rsidRPr="00D57D3F">
        <w:rPr>
          <w:rFonts w:cstheme="minorHAnsi"/>
          <w:szCs w:val="24"/>
        </w:rPr>
        <w:t xml:space="preserve"> </w:t>
      </w:r>
      <w:r w:rsidRPr="00D57D3F">
        <w:rPr>
          <w:rFonts w:cstheme="minorHAnsi"/>
          <w:szCs w:val="24"/>
        </w:rPr>
        <w:t xml:space="preserve">Většina těchto odpadů je </w:t>
      </w:r>
      <w:r w:rsidRPr="00D57D3F">
        <w:rPr>
          <w:rFonts w:cstheme="minorHAnsi"/>
          <w:szCs w:val="24"/>
        </w:rPr>
        <w:t>z důvodu svých vlastností nebezpečných. V roce 201</w:t>
      </w:r>
      <w:r w:rsidR="0092240D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to bylo 3</w:t>
      </w:r>
      <w:r w:rsidR="00BA52E2" w:rsidRPr="00D57D3F">
        <w:rPr>
          <w:rFonts w:cstheme="minorHAnsi"/>
          <w:szCs w:val="24"/>
        </w:rPr>
        <w:t>6,3</w:t>
      </w:r>
      <w:r w:rsidR="00E17651" w:rsidRPr="00D57D3F">
        <w:rPr>
          <w:rFonts w:cstheme="minorHAnsi"/>
          <w:szCs w:val="24"/>
        </w:rPr>
        <w:t> </w:t>
      </w:r>
      <w:r w:rsidR="00723F8B" w:rsidRPr="00D57D3F">
        <w:rPr>
          <w:rFonts w:cstheme="minorHAnsi"/>
          <w:szCs w:val="24"/>
        </w:rPr>
        <w:t xml:space="preserve">tis. </w:t>
      </w:r>
      <w:r w:rsidRPr="00D57D3F">
        <w:rPr>
          <w:rFonts w:cstheme="minorHAnsi"/>
          <w:szCs w:val="24"/>
        </w:rPr>
        <w:t>t a v roce 20</w:t>
      </w:r>
      <w:r w:rsidR="0092240D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</w:t>
      </w:r>
      <w:r w:rsidR="00BA52E2" w:rsidRPr="00D57D3F">
        <w:rPr>
          <w:rFonts w:cstheme="minorHAnsi"/>
          <w:szCs w:val="24"/>
        </w:rPr>
        <w:t>–</w:t>
      </w:r>
      <w:r w:rsidR="00723F8B" w:rsidRPr="00D57D3F">
        <w:rPr>
          <w:rFonts w:cstheme="minorHAnsi"/>
          <w:szCs w:val="24"/>
        </w:rPr>
        <w:t xml:space="preserve"> </w:t>
      </w:r>
      <w:r w:rsidRPr="00D57D3F">
        <w:rPr>
          <w:rFonts w:cstheme="minorHAnsi"/>
          <w:szCs w:val="24"/>
        </w:rPr>
        <w:t>3</w:t>
      </w:r>
      <w:r w:rsidR="00BA52E2" w:rsidRPr="00D57D3F">
        <w:rPr>
          <w:rFonts w:cstheme="minorHAnsi"/>
          <w:szCs w:val="24"/>
        </w:rPr>
        <w:t>7,9</w:t>
      </w:r>
      <w:r w:rsidR="00723F8B" w:rsidRPr="00D57D3F">
        <w:rPr>
          <w:rFonts w:cstheme="minorHAnsi"/>
          <w:szCs w:val="24"/>
        </w:rPr>
        <w:t xml:space="preserve"> tis. </w:t>
      </w:r>
      <w:r w:rsidR="00E17651" w:rsidRPr="00D57D3F">
        <w:rPr>
          <w:rFonts w:cstheme="minorHAnsi"/>
          <w:szCs w:val="24"/>
        </w:rPr>
        <w:t>t</w:t>
      </w:r>
      <w:r w:rsidRPr="00D57D3F">
        <w:rPr>
          <w:rFonts w:cstheme="minorHAnsi"/>
          <w:szCs w:val="24"/>
        </w:rPr>
        <w:t xml:space="preserve">. </w:t>
      </w:r>
      <w:r w:rsidR="004E2C05" w:rsidRPr="00D57D3F">
        <w:rPr>
          <w:rFonts w:cstheme="minorHAnsi"/>
          <w:szCs w:val="24"/>
        </w:rPr>
        <w:t>Na sběr a odstraňování nebezpečných odpadů ze zdravotnictví a veterinární péče jsou kladeny zvláštní požadavky s</w:t>
      </w:r>
      <w:r w:rsidR="007332C1" w:rsidRPr="00D57D3F">
        <w:rPr>
          <w:rFonts w:cstheme="minorHAnsi"/>
          <w:szCs w:val="24"/>
        </w:rPr>
        <w:t> </w:t>
      </w:r>
      <w:r w:rsidR="004E2C05" w:rsidRPr="00D57D3F">
        <w:rPr>
          <w:rFonts w:cstheme="minorHAnsi"/>
          <w:szCs w:val="24"/>
        </w:rPr>
        <w:t xml:space="preserve">ohledem na prevenci infekce. </w:t>
      </w:r>
      <w:r w:rsidRPr="00D57D3F">
        <w:rPr>
          <w:rFonts w:cstheme="minorHAnsi"/>
          <w:szCs w:val="24"/>
        </w:rPr>
        <w:t>Tyto odpady j</w:t>
      </w:r>
      <w:r w:rsidRPr="00D57D3F">
        <w:rPr>
          <w:rFonts w:cstheme="minorHAnsi"/>
          <w:szCs w:val="24"/>
        </w:rPr>
        <w:t xml:space="preserve">sou odstraňovány </w:t>
      </w:r>
      <w:r w:rsidR="0069135D" w:rsidRPr="00D57D3F">
        <w:rPr>
          <w:rFonts w:cstheme="minorHAnsi"/>
          <w:szCs w:val="24"/>
        </w:rPr>
        <w:t xml:space="preserve">zejména </w:t>
      </w:r>
      <w:r w:rsidRPr="00D57D3F">
        <w:rPr>
          <w:rFonts w:cstheme="minorHAnsi"/>
          <w:szCs w:val="24"/>
        </w:rPr>
        <w:t>spalováním</w:t>
      </w:r>
      <w:r w:rsidR="004E2C05" w:rsidRPr="00D57D3F">
        <w:rPr>
          <w:rFonts w:cstheme="minorHAnsi"/>
          <w:szCs w:val="24"/>
        </w:rPr>
        <w:t xml:space="preserve"> ve spalovnách</w:t>
      </w:r>
      <w:r w:rsidR="00C936E5" w:rsidRPr="00D57D3F">
        <w:rPr>
          <w:rFonts w:cstheme="minorHAnsi"/>
          <w:szCs w:val="24"/>
        </w:rPr>
        <w:t xml:space="preserve"> nebezpečných odpadů</w:t>
      </w:r>
      <w:r w:rsidR="008941D2" w:rsidRPr="00D57D3F">
        <w:rPr>
          <w:rFonts w:cstheme="minorHAnsi"/>
          <w:szCs w:val="24"/>
        </w:rPr>
        <w:t xml:space="preserve"> cca 80 %</w:t>
      </w:r>
      <w:r w:rsidR="0069135D" w:rsidRPr="00D57D3F">
        <w:rPr>
          <w:rFonts w:cstheme="minorHAnsi"/>
          <w:szCs w:val="24"/>
        </w:rPr>
        <w:t>, část odpadů je skládkována.</w:t>
      </w:r>
    </w:p>
    <w:p w:rsidR="002A0C87" w:rsidRPr="00D57D3F" w:rsidRDefault="008C12E6" w:rsidP="00585BC5">
      <w:pPr>
        <w:spacing w:after="120" w:line="276" w:lineRule="auto"/>
        <w:rPr>
          <w:rFonts w:cstheme="minorHAnsi"/>
          <w:bCs/>
          <w:szCs w:val="24"/>
        </w:rPr>
      </w:pPr>
      <w:r w:rsidRPr="00D57D3F">
        <w:t>V roce 201</w:t>
      </w:r>
      <w:r w:rsidR="00585BC5" w:rsidRPr="00D57D3F">
        <w:t>9</w:t>
      </w:r>
      <w:r w:rsidR="007E2CE1" w:rsidRPr="00D57D3F">
        <w:t xml:space="preserve"> a 20</w:t>
      </w:r>
      <w:r w:rsidR="00585BC5" w:rsidRPr="00D57D3F">
        <w:t>20</w:t>
      </w:r>
      <w:r w:rsidR="007E2CE1" w:rsidRPr="00D57D3F">
        <w:t xml:space="preserve"> byla v praxi uplatňována </w:t>
      </w:r>
      <w:r w:rsidR="00723F8B" w:rsidRPr="00D57D3F">
        <w:t xml:space="preserve">již </w:t>
      </w:r>
      <w:r w:rsidR="007E2CE1" w:rsidRPr="00D57D3F">
        <w:t xml:space="preserve">dříve zpracovaná </w:t>
      </w:r>
      <w:r w:rsidRPr="00D57D3F">
        <w:rPr>
          <w:rFonts w:cstheme="minorHAnsi"/>
          <w:bCs/>
          <w:i/>
          <w:szCs w:val="24"/>
        </w:rPr>
        <w:t>„Metodika pro nakládání s</w:t>
      </w:r>
      <w:r w:rsidR="00723F8B" w:rsidRPr="00D57D3F">
        <w:rPr>
          <w:rFonts w:cstheme="minorHAnsi"/>
          <w:bCs/>
          <w:i/>
          <w:szCs w:val="24"/>
        </w:rPr>
        <w:t> </w:t>
      </w:r>
      <w:r w:rsidRPr="00D57D3F">
        <w:rPr>
          <w:rFonts w:cstheme="minorHAnsi"/>
          <w:bCs/>
          <w:i/>
          <w:szCs w:val="24"/>
        </w:rPr>
        <w:t xml:space="preserve">odpady ze zdravotnických, veterinárních a jim podobných </w:t>
      </w:r>
      <w:r w:rsidRPr="00D57D3F">
        <w:rPr>
          <w:rFonts w:cstheme="minorHAnsi"/>
          <w:bCs/>
          <w:i/>
          <w:szCs w:val="24"/>
        </w:rPr>
        <w:t>zařízení“</w:t>
      </w:r>
      <w:r w:rsidRPr="00D57D3F">
        <w:rPr>
          <w:rFonts w:cstheme="minorHAnsi"/>
          <w:bCs/>
          <w:szCs w:val="24"/>
        </w:rPr>
        <w:t xml:space="preserve">. Metodika </w:t>
      </w:r>
      <w:r w:rsidR="0092240D" w:rsidRPr="00D57D3F">
        <w:rPr>
          <w:rFonts w:cstheme="minorHAnsi"/>
          <w:bCs/>
          <w:szCs w:val="24"/>
        </w:rPr>
        <w:t xml:space="preserve">SZÚ </w:t>
      </w:r>
      <w:r w:rsidR="007E2CE1" w:rsidRPr="00D57D3F">
        <w:rPr>
          <w:rFonts w:cstheme="minorHAnsi"/>
          <w:bCs/>
          <w:szCs w:val="24"/>
        </w:rPr>
        <w:t xml:space="preserve">umožnila správně postupovat </w:t>
      </w:r>
      <w:r w:rsidRPr="00D57D3F">
        <w:rPr>
          <w:rFonts w:cstheme="minorHAnsi"/>
          <w:bCs/>
          <w:szCs w:val="24"/>
        </w:rPr>
        <w:t>při nakládání s</w:t>
      </w:r>
      <w:r w:rsidR="00594108" w:rsidRPr="00D57D3F">
        <w:rPr>
          <w:rFonts w:cstheme="minorHAnsi"/>
          <w:bCs/>
          <w:szCs w:val="24"/>
        </w:rPr>
        <w:t> </w:t>
      </w:r>
      <w:r w:rsidRPr="00D57D3F">
        <w:rPr>
          <w:rFonts w:cstheme="minorHAnsi"/>
          <w:bCs/>
          <w:szCs w:val="24"/>
        </w:rPr>
        <w:t>odpady ze zdravotní a veterinární péče za účelem minimalizace zdravotních a ekologických rizik.</w:t>
      </w:r>
      <w:r w:rsidR="007E2CE1" w:rsidRPr="00D57D3F">
        <w:rPr>
          <w:rFonts w:cstheme="minorHAnsi"/>
          <w:bCs/>
          <w:szCs w:val="24"/>
        </w:rPr>
        <w:t xml:space="preserve"> MŽP společně s Ministerstvem zdravotnictví a</w:t>
      </w:r>
      <w:r w:rsidR="00723F8B" w:rsidRPr="00D57D3F">
        <w:rPr>
          <w:rFonts w:cstheme="minorHAnsi"/>
          <w:bCs/>
          <w:szCs w:val="24"/>
        </w:rPr>
        <w:t> </w:t>
      </w:r>
      <w:r w:rsidR="007E2CE1" w:rsidRPr="00D57D3F">
        <w:rPr>
          <w:rFonts w:cstheme="minorHAnsi"/>
          <w:bCs/>
          <w:szCs w:val="24"/>
        </w:rPr>
        <w:t xml:space="preserve">Státním zdravotním ústavem šířilo v rámci odborných školení a </w:t>
      </w:r>
      <w:proofErr w:type="spellStart"/>
      <w:r w:rsidR="00585BC5" w:rsidRPr="00D57D3F">
        <w:rPr>
          <w:rFonts w:cstheme="minorHAnsi"/>
          <w:bCs/>
          <w:szCs w:val="24"/>
        </w:rPr>
        <w:t>webinářů</w:t>
      </w:r>
      <w:proofErr w:type="spellEnd"/>
      <w:r w:rsidR="007E2CE1" w:rsidRPr="00D57D3F">
        <w:rPr>
          <w:rFonts w:cstheme="minorHAnsi"/>
          <w:bCs/>
          <w:szCs w:val="24"/>
        </w:rPr>
        <w:t xml:space="preserve"> povědomí o této metodice a správném přístupu k nakládání se zdravotnickými a veterinárními odpady.  </w:t>
      </w:r>
    </w:p>
    <w:p w:rsidR="00585BC5" w:rsidRPr="00D57D3F" w:rsidRDefault="008C12E6" w:rsidP="00C936E5">
      <w:pPr>
        <w:spacing w:after="360" w:line="276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V</w:t>
      </w:r>
      <w:r w:rsidRPr="00D57D3F">
        <w:rPr>
          <w:rFonts w:cstheme="minorHAnsi"/>
          <w:bCs/>
          <w:szCs w:val="24"/>
        </w:rPr>
        <w:t xml:space="preserve"> období 2019 a 2020 </w:t>
      </w:r>
      <w:r>
        <w:rPr>
          <w:rFonts w:cstheme="minorHAnsi"/>
          <w:bCs/>
          <w:szCs w:val="24"/>
        </w:rPr>
        <w:t xml:space="preserve">se </w:t>
      </w:r>
      <w:r w:rsidRPr="00D57D3F">
        <w:rPr>
          <w:rFonts w:cstheme="minorHAnsi"/>
          <w:bCs/>
          <w:szCs w:val="24"/>
        </w:rPr>
        <w:t>připravovala zcela nová právní úprava, která mnohé z povinností doposud uvedených v metodickém pokynu k nak</w:t>
      </w:r>
      <w:r w:rsidRPr="00D57D3F">
        <w:rPr>
          <w:rFonts w:cstheme="minorHAnsi"/>
          <w:bCs/>
          <w:szCs w:val="24"/>
        </w:rPr>
        <w:t>ládání s odpady ze zdravotní a</w:t>
      </w:r>
      <w:r w:rsidR="0092240D" w:rsidRPr="00D57D3F">
        <w:rPr>
          <w:rFonts w:cstheme="minorHAnsi"/>
          <w:bCs/>
          <w:szCs w:val="24"/>
        </w:rPr>
        <w:t> </w:t>
      </w:r>
      <w:r w:rsidRPr="00D57D3F">
        <w:rPr>
          <w:rFonts w:cstheme="minorHAnsi"/>
          <w:bCs/>
          <w:szCs w:val="24"/>
        </w:rPr>
        <w:t>veterinární péče zakotvila do zákona a prováděcího předpisu.</w:t>
      </w:r>
    </w:p>
    <w:p w:rsidR="00FD422E" w:rsidRPr="00D57D3F" w:rsidRDefault="008C12E6" w:rsidP="004E2C05">
      <w:pPr>
        <w:spacing w:after="60"/>
        <w:rPr>
          <w:b/>
          <w:bCs/>
        </w:rPr>
      </w:pPr>
      <w:r w:rsidRPr="00D57D3F">
        <w:rPr>
          <w:b/>
          <w:bCs/>
        </w:rPr>
        <w:t xml:space="preserve">Odpady </w:t>
      </w:r>
      <w:r w:rsidR="00B063B0" w:rsidRPr="00D57D3F">
        <w:rPr>
          <w:b/>
          <w:bCs/>
        </w:rPr>
        <w:t xml:space="preserve">železných a neželezných kovů </w:t>
      </w:r>
    </w:p>
    <w:p w:rsidR="0095454E" w:rsidRPr="00D57D3F" w:rsidRDefault="008C12E6" w:rsidP="0095454E">
      <w:pPr>
        <w:spacing w:after="120" w:line="276" w:lineRule="auto"/>
        <w:rPr>
          <w:rFonts w:cstheme="minorHAnsi"/>
          <w:szCs w:val="24"/>
        </w:rPr>
      </w:pPr>
      <w:r w:rsidRPr="00D57D3F">
        <w:rPr>
          <w:rFonts w:cstheme="minorHAnsi"/>
          <w:szCs w:val="24"/>
        </w:rPr>
        <w:t xml:space="preserve">Produkce </w:t>
      </w:r>
      <w:r w:rsidR="00742F69" w:rsidRPr="00D57D3F">
        <w:rPr>
          <w:rFonts w:cstheme="minorHAnsi"/>
          <w:szCs w:val="24"/>
        </w:rPr>
        <w:t xml:space="preserve">odpadů železných kovů </w:t>
      </w:r>
      <w:r w:rsidRPr="00D57D3F">
        <w:rPr>
          <w:rFonts w:cstheme="minorHAnsi"/>
          <w:szCs w:val="24"/>
        </w:rPr>
        <w:t xml:space="preserve">se </w:t>
      </w:r>
      <w:r w:rsidR="00742F69" w:rsidRPr="00D57D3F">
        <w:rPr>
          <w:rFonts w:cstheme="minorHAnsi"/>
          <w:szCs w:val="24"/>
        </w:rPr>
        <w:t>pohyb</w:t>
      </w:r>
      <w:r w:rsidRPr="00D57D3F">
        <w:rPr>
          <w:rFonts w:cstheme="minorHAnsi"/>
          <w:szCs w:val="24"/>
        </w:rPr>
        <w:t xml:space="preserve">uje okolo </w:t>
      </w:r>
      <w:r w:rsidR="00742F69" w:rsidRPr="00D57D3F">
        <w:rPr>
          <w:rFonts w:cstheme="minorHAnsi"/>
          <w:szCs w:val="24"/>
        </w:rPr>
        <w:t xml:space="preserve">4 milionů tun. </w:t>
      </w:r>
      <w:r w:rsidRPr="00D57D3F">
        <w:rPr>
          <w:rFonts w:cstheme="minorHAnsi"/>
          <w:szCs w:val="24"/>
        </w:rPr>
        <w:t>V roce 201</w:t>
      </w:r>
      <w:r w:rsidR="00BC7EB0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produkce byla 4</w:t>
      </w:r>
      <w:r w:rsidR="00C936E5" w:rsidRPr="00D57D3F">
        <w:rPr>
          <w:rFonts w:cstheme="minorHAnsi"/>
          <w:szCs w:val="24"/>
        </w:rPr>
        <w:t>,</w:t>
      </w:r>
      <w:r w:rsidRPr="00D57D3F">
        <w:rPr>
          <w:rFonts w:cstheme="minorHAnsi"/>
          <w:szCs w:val="24"/>
        </w:rPr>
        <w:t>2</w:t>
      </w:r>
      <w:r w:rsidR="00C936E5" w:rsidRPr="00D57D3F">
        <w:rPr>
          <w:rFonts w:cstheme="minorHAnsi"/>
          <w:szCs w:val="24"/>
        </w:rPr>
        <w:t xml:space="preserve"> mil. </w:t>
      </w:r>
      <w:r w:rsidRPr="00D57D3F">
        <w:rPr>
          <w:rFonts w:cstheme="minorHAnsi"/>
          <w:szCs w:val="24"/>
        </w:rPr>
        <w:t>t a v roce 2020 činila 4</w:t>
      </w:r>
      <w:r w:rsidR="00C936E5" w:rsidRPr="00D57D3F">
        <w:rPr>
          <w:rFonts w:cstheme="minorHAnsi"/>
          <w:szCs w:val="24"/>
        </w:rPr>
        <w:t>,</w:t>
      </w:r>
      <w:r w:rsidRPr="00D57D3F">
        <w:rPr>
          <w:rFonts w:cstheme="minorHAnsi"/>
          <w:szCs w:val="24"/>
        </w:rPr>
        <w:t>0</w:t>
      </w:r>
      <w:r w:rsidR="00C936E5" w:rsidRPr="00D57D3F">
        <w:rPr>
          <w:rFonts w:cstheme="minorHAnsi"/>
          <w:szCs w:val="24"/>
        </w:rPr>
        <w:t xml:space="preserve"> mil.</w:t>
      </w:r>
      <w:r w:rsidRPr="00D57D3F">
        <w:rPr>
          <w:rFonts w:cstheme="minorHAnsi"/>
          <w:szCs w:val="24"/>
        </w:rPr>
        <w:t xml:space="preserve"> t. Meziročně se množství odpadů železných kovů mírně snížilo o </w:t>
      </w:r>
      <w:r w:rsidR="00600409" w:rsidRPr="00D57D3F">
        <w:rPr>
          <w:rFonts w:cstheme="minorHAnsi"/>
          <w:szCs w:val="24"/>
        </w:rPr>
        <w:t>2</w:t>
      </w:r>
      <w:r w:rsidRPr="00D57D3F">
        <w:rPr>
          <w:rFonts w:cstheme="minorHAnsi"/>
          <w:szCs w:val="24"/>
        </w:rPr>
        <w:t xml:space="preserve"> %.</w:t>
      </w:r>
      <w:r w:rsidR="00115BE4" w:rsidRPr="00D57D3F">
        <w:rPr>
          <w:rFonts w:cstheme="minorHAnsi"/>
          <w:szCs w:val="24"/>
        </w:rPr>
        <w:t xml:space="preserve"> </w:t>
      </w:r>
      <w:r w:rsidR="00742F69" w:rsidRPr="00D57D3F">
        <w:rPr>
          <w:rFonts w:cstheme="minorHAnsi"/>
          <w:szCs w:val="24"/>
        </w:rPr>
        <w:t>Většina produkce odpadů železných kovů je recyklována</w:t>
      </w:r>
      <w:r w:rsidRPr="00D57D3F">
        <w:rPr>
          <w:rFonts w:cstheme="minorHAnsi"/>
          <w:szCs w:val="24"/>
        </w:rPr>
        <w:t xml:space="preserve"> (okolo 75 %). </w:t>
      </w:r>
    </w:p>
    <w:p w:rsidR="00115BE4" w:rsidRPr="00D57D3F" w:rsidRDefault="008C12E6" w:rsidP="00D61EBF">
      <w:pPr>
        <w:spacing w:after="120" w:line="276" w:lineRule="auto"/>
        <w:rPr>
          <w:rFonts w:cstheme="minorHAnsi"/>
          <w:szCs w:val="24"/>
        </w:rPr>
      </w:pPr>
      <w:r w:rsidRPr="00D57D3F">
        <w:rPr>
          <w:rFonts w:cstheme="minorHAnsi"/>
          <w:szCs w:val="24"/>
        </w:rPr>
        <w:t>Produkce odpadů neželezných kovů se pohybuje okolo 260 tis. t.</w:t>
      </w:r>
      <w:r w:rsidR="006230E6" w:rsidRPr="00D57D3F">
        <w:rPr>
          <w:rFonts w:cstheme="minorHAnsi"/>
          <w:szCs w:val="24"/>
        </w:rPr>
        <w:t xml:space="preserve"> </w:t>
      </w:r>
      <w:r w:rsidRPr="00D57D3F">
        <w:rPr>
          <w:rFonts w:cstheme="minorHAnsi"/>
          <w:szCs w:val="24"/>
        </w:rPr>
        <w:t>V roce 201</w:t>
      </w:r>
      <w:r w:rsidR="00857CD8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produkce byla </w:t>
      </w:r>
      <w:r w:rsidR="00F03F3D" w:rsidRPr="00D57D3F">
        <w:rPr>
          <w:rFonts w:cstheme="minorHAnsi"/>
          <w:szCs w:val="24"/>
        </w:rPr>
        <w:t>26</w:t>
      </w:r>
      <w:r w:rsidR="00857CD8" w:rsidRPr="00D57D3F">
        <w:rPr>
          <w:rFonts w:cstheme="minorHAnsi"/>
          <w:szCs w:val="24"/>
        </w:rPr>
        <w:t xml:space="preserve">0,8 </w:t>
      </w:r>
      <w:r w:rsidR="00C936E5" w:rsidRPr="00D57D3F">
        <w:rPr>
          <w:rFonts w:cstheme="minorHAnsi"/>
          <w:szCs w:val="24"/>
        </w:rPr>
        <w:t xml:space="preserve">tis. </w:t>
      </w:r>
      <w:r w:rsidRPr="00D57D3F">
        <w:rPr>
          <w:rFonts w:cstheme="minorHAnsi"/>
          <w:szCs w:val="24"/>
        </w:rPr>
        <w:t>t a v roce 20</w:t>
      </w:r>
      <w:r w:rsidR="00857CD8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činila </w:t>
      </w:r>
      <w:r w:rsidR="00F03F3D" w:rsidRPr="00D57D3F">
        <w:rPr>
          <w:rFonts w:cstheme="minorHAnsi"/>
          <w:szCs w:val="24"/>
        </w:rPr>
        <w:t>2</w:t>
      </w:r>
      <w:r w:rsidR="00857CD8" w:rsidRPr="00D57D3F">
        <w:rPr>
          <w:rFonts w:cstheme="minorHAnsi"/>
          <w:szCs w:val="24"/>
        </w:rPr>
        <w:t>42,6</w:t>
      </w:r>
      <w:r w:rsidR="00C936E5" w:rsidRPr="00D57D3F">
        <w:rPr>
          <w:rFonts w:cstheme="minorHAnsi"/>
          <w:szCs w:val="24"/>
        </w:rPr>
        <w:t xml:space="preserve"> tis. </w:t>
      </w:r>
      <w:r w:rsidRPr="00D57D3F">
        <w:rPr>
          <w:rFonts w:cstheme="minorHAnsi"/>
          <w:szCs w:val="24"/>
        </w:rPr>
        <w:t xml:space="preserve">t. Meziročně se množství odpadů </w:t>
      </w:r>
      <w:r w:rsidR="00857CD8" w:rsidRPr="00D57D3F">
        <w:rPr>
          <w:rFonts w:cstheme="minorHAnsi"/>
          <w:szCs w:val="24"/>
        </w:rPr>
        <w:t>ne</w:t>
      </w:r>
      <w:r w:rsidRPr="00D57D3F">
        <w:rPr>
          <w:rFonts w:cstheme="minorHAnsi"/>
          <w:szCs w:val="24"/>
        </w:rPr>
        <w:t xml:space="preserve">železných kovů mírně </w:t>
      </w:r>
      <w:r w:rsidR="00483874" w:rsidRPr="00D57D3F">
        <w:rPr>
          <w:rFonts w:cstheme="minorHAnsi"/>
          <w:szCs w:val="24"/>
        </w:rPr>
        <w:t xml:space="preserve">snížilo </w:t>
      </w:r>
      <w:r w:rsidRPr="00D57D3F">
        <w:rPr>
          <w:rFonts w:cstheme="minorHAnsi"/>
          <w:szCs w:val="24"/>
        </w:rPr>
        <w:t xml:space="preserve">o </w:t>
      </w:r>
      <w:r w:rsidR="00406582" w:rsidRPr="00D57D3F">
        <w:rPr>
          <w:rFonts w:cstheme="minorHAnsi"/>
          <w:szCs w:val="24"/>
        </w:rPr>
        <w:t>7</w:t>
      </w:r>
      <w:r w:rsidR="00483874" w:rsidRPr="00D57D3F">
        <w:rPr>
          <w:rFonts w:cstheme="minorHAnsi"/>
          <w:szCs w:val="24"/>
        </w:rPr>
        <w:t xml:space="preserve"> </w:t>
      </w:r>
      <w:r w:rsidRPr="00D57D3F">
        <w:rPr>
          <w:rFonts w:cstheme="minorHAnsi"/>
          <w:szCs w:val="24"/>
        </w:rPr>
        <w:t xml:space="preserve">%. </w:t>
      </w:r>
      <w:r w:rsidR="00BA704B" w:rsidRPr="00D57D3F">
        <w:rPr>
          <w:rFonts w:cstheme="minorHAnsi"/>
          <w:szCs w:val="24"/>
        </w:rPr>
        <w:t xml:space="preserve"> </w:t>
      </w:r>
      <w:r w:rsidR="00857CD8" w:rsidRPr="00D57D3F">
        <w:rPr>
          <w:rFonts w:cstheme="minorHAnsi"/>
          <w:szCs w:val="24"/>
        </w:rPr>
        <w:t xml:space="preserve">Téměř všechny tyto odpady jsou recyklovány, hodnota dosahuje až 100 %. </w:t>
      </w:r>
    </w:p>
    <w:p w:rsidR="00C26696" w:rsidRPr="00D57D3F" w:rsidRDefault="008C12E6" w:rsidP="00C936E5">
      <w:pPr>
        <w:spacing w:after="120" w:line="276" w:lineRule="auto"/>
        <w:rPr>
          <w:rFonts w:eastAsiaTheme="majorEastAsia"/>
          <w:lang w:bidi="en-US"/>
        </w:rPr>
      </w:pPr>
      <w:r w:rsidRPr="00D57D3F">
        <w:rPr>
          <w:bCs/>
        </w:rPr>
        <w:t>V letech 2019 a 2020 byl</w:t>
      </w:r>
      <w:r w:rsidR="009951B4" w:rsidRPr="00D57D3F">
        <w:rPr>
          <w:bCs/>
        </w:rPr>
        <w:t>o</w:t>
      </w:r>
      <w:r w:rsidRPr="00D57D3F">
        <w:rPr>
          <w:bCs/>
        </w:rPr>
        <w:t xml:space="preserve"> </w:t>
      </w:r>
      <w:r w:rsidR="00235728" w:rsidRPr="00D57D3F">
        <w:rPr>
          <w:bCs/>
        </w:rPr>
        <w:t xml:space="preserve">nadále </w:t>
      </w:r>
      <w:r w:rsidRPr="00D57D3F">
        <w:rPr>
          <w:bCs/>
        </w:rPr>
        <w:t>úspěšn</w:t>
      </w:r>
      <w:r w:rsidR="00235728" w:rsidRPr="00D57D3F">
        <w:rPr>
          <w:bCs/>
        </w:rPr>
        <w:t>ě</w:t>
      </w:r>
      <w:r w:rsidRPr="00D57D3F">
        <w:rPr>
          <w:bCs/>
        </w:rPr>
        <w:t xml:space="preserve"> implementováno </w:t>
      </w:r>
      <w:r w:rsidR="005E27FB" w:rsidRPr="00D57D3F">
        <w:rPr>
          <w:bCs/>
        </w:rPr>
        <w:t>usnesení vlády č. 611</w:t>
      </w:r>
      <w:r w:rsidRPr="00D57D3F">
        <w:rPr>
          <w:bCs/>
        </w:rPr>
        <w:t xml:space="preserve"> z roku </w:t>
      </w:r>
      <w:r w:rsidR="004A3475" w:rsidRPr="00D57D3F">
        <w:rPr>
          <w:bCs/>
        </w:rPr>
        <w:t>2</w:t>
      </w:r>
      <w:r w:rsidR="005E27FB" w:rsidRPr="00D57D3F">
        <w:rPr>
          <w:bCs/>
        </w:rPr>
        <w:t>015</w:t>
      </w:r>
      <w:r w:rsidR="004A3475" w:rsidRPr="00D57D3F">
        <w:rPr>
          <w:bCs/>
        </w:rPr>
        <w:t xml:space="preserve"> a </w:t>
      </w:r>
      <w:r w:rsidR="005E27FB" w:rsidRPr="00D57D3F">
        <w:rPr>
          <w:bCs/>
        </w:rPr>
        <w:t>materiál „</w:t>
      </w:r>
      <w:r w:rsidR="005E27FB" w:rsidRPr="00D57D3F">
        <w:rPr>
          <w:bCs/>
          <w:i/>
        </w:rPr>
        <w:t>Komplexní řešení problematiky negativních jevů při výkupu kovových odpadů v ČR</w:t>
      </w:r>
      <w:r w:rsidR="005E27FB" w:rsidRPr="00D57D3F">
        <w:rPr>
          <w:bCs/>
        </w:rPr>
        <w:t xml:space="preserve">“, který připravilo MŽP ve spolupráci s dalšími resorty. </w:t>
      </w:r>
      <w:r w:rsidR="004A3475" w:rsidRPr="00D57D3F">
        <w:rPr>
          <w:bCs/>
        </w:rPr>
        <w:t xml:space="preserve">Probíhaly </w:t>
      </w:r>
      <w:r w:rsidR="005E27FB" w:rsidRPr="00D57D3F">
        <w:rPr>
          <w:bCs/>
        </w:rPr>
        <w:t>bezhotovostní plat</w:t>
      </w:r>
      <w:r w:rsidR="004A3475" w:rsidRPr="00D57D3F">
        <w:rPr>
          <w:bCs/>
        </w:rPr>
        <w:t>by</w:t>
      </w:r>
      <w:r w:rsidR="005E27FB" w:rsidRPr="00D57D3F">
        <w:rPr>
          <w:bCs/>
        </w:rPr>
        <w:t xml:space="preserve"> za výkup kovových odpadů,</w:t>
      </w:r>
      <w:r w:rsidR="004A3475" w:rsidRPr="00D57D3F">
        <w:rPr>
          <w:bCs/>
        </w:rPr>
        <w:t xml:space="preserve"> byl využíván </w:t>
      </w:r>
      <w:r w:rsidR="00C936E5" w:rsidRPr="00D57D3F">
        <w:rPr>
          <w:bCs/>
        </w:rPr>
        <w:t>R</w:t>
      </w:r>
      <w:r w:rsidR="005E27FB" w:rsidRPr="00D57D3F">
        <w:rPr>
          <w:bCs/>
        </w:rPr>
        <w:t xml:space="preserve">egistr zařízení </w:t>
      </w:r>
      <w:r w:rsidR="00C936E5" w:rsidRPr="00D57D3F">
        <w:rPr>
          <w:bCs/>
        </w:rPr>
        <w:t xml:space="preserve">(zařízení </w:t>
      </w:r>
      <w:r w:rsidR="005E27FB" w:rsidRPr="00D57D3F">
        <w:rPr>
          <w:bCs/>
        </w:rPr>
        <w:t>pro sběr a výkup kovových odpadů</w:t>
      </w:r>
      <w:r w:rsidR="00C936E5" w:rsidRPr="00D57D3F">
        <w:rPr>
          <w:bCs/>
        </w:rPr>
        <w:t>) a </w:t>
      </w:r>
      <w:r w:rsidR="004A3475" w:rsidRPr="00D57D3F">
        <w:rPr>
          <w:bCs/>
        </w:rPr>
        <w:t xml:space="preserve">ze strany ČIŽP probíhaly kontroly sběren odpadů. Na základě povinnosti dané vyhláškou </w:t>
      </w:r>
      <w:r w:rsidR="001158BB" w:rsidRPr="00D57D3F">
        <w:t>č.</w:t>
      </w:r>
      <w:r w:rsidR="00C936E5" w:rsidRPr="00D57D3F">
        <w:t> </w:t>
      </w:r>
      <w:r w:rsidR="001158BB" w:rsidRPr="00D57D3F">
        <w:t>383/2001 Sb., o podrobnostech nakládání s odpady,</w:t>
      </w:r>
      <w:r w:rsidR="004A3475" w:rsidRPr="00D57D3F">
        <w:t xml:space="preserve"> se na určité kovové odpady uplatňuje </w:t>
      </w:r>
      <w:r w:rsidR="001158BB" w:rsidRPr="00D57D3F">
        <w:rPr>
          <w:rFonts w:eastAsiaTheme="majorEastAsia"/>
          <w:lang w:bidi="en-US"/>
        </w:rPr>
        <w:t>identifikace odebíraných nebo vykupovaných odpadů a osob odevzdávajících takovýto odpad</w:t>
      </w:r>
      <w:r w:rsidR="004A3475" w:rsidRPr="00D57D3F">
        <w:rPr>
          <w:rFonts w:eastAsiaTheme="majorEastAsia"/>
          <w:lang w:bidi="en-US"/>
        </w:rPr>
        <w:t xml:space="preserve">. </w:t>
      </w:r>
      <w:r w:rsidR="004A3475" w:rsidRPr="00D57D3F">
        <w:rPr>
          <w:rFonts w:eastAsiaTheme="majorEastAsia"/>
          <w:lang w:bidi="en-US"/>
        </w:rPr>
        <w:lastRenderedPageBreak/>
        <w:t xml:space="preserve">V letech </w:t>
      </w:r>
      <w:r w:rsidR="00C20896" w:rsidRPr="00D57D3F">
        <w:rPr>
          <w:rFonts w:eastAsiaTheme="majorEastAsia"/>
          <w:lang w:bidi="en-US"/>
        </w:rPr>
        <w:t>2019–2020</w:t>
      </w:r>
      <w:r w:rsidR="004A3475" w:rsidRPr="00D57D3F">
        <w:rPr>
          <w:rFonts w:eastAsiaTheme="majorEastAsia"/>
          <w:lang w:bidi="en-US"/>
        </w:rPr>
        <w:t xml:space="preserve"> se nadále zlepšila </w:t>
      </w:r>
      <w:r w:rsidR="001158BB" w:rsidRPr="00D57D3F">
        <w:rPr>
          <w:rFonts w:eastAsiaTheme="majorEastAsia"/>
          <w:lang w:bidi="en-US"/>
        </w:rPr>
        <w:t>kontrol</w:t>
      </w:r>
      <w:r w:rsidR="004A3475" w:rsidRPr="00D57D3F">
        <w:rPr>
          <w:rFonts w:eastAsiaTheme="majorEastAsia"/>
          <w:lang w:bidi="en-US"/>
        </w:rPr>
        <w:t>a</w:t>
      </w:r>
      <w:r w:rsidR="001158BB" w:rsidRPr="00D57D3F">
        <w:rPr>
          <w:rFonts w:eastAsiaTheme="majorEastAsia"/>
          <w:lang w:bidi="en-US"/>
        </w:rPr>
        <w:t xml:space="preserve"> výkupu kovových odpadů a</w:t>
      </w:r>
      <w:r w:rsidR="00A96A28" w:rsidRPr="00D57D3F">
        <w:rPr>
          <w:rFonts w:eastAsiaTheme="majorEastAsia"/>
          <w:lang w:bidi="en-US"/>
        </w:rPr>
        <w:t> </w:t>
      </w:r>
      <w:r w:rsidR="001158BB" w:rsidRPr="00D57D3F">
        <w:rPr>
          <w:rFonts w:eastAsiaTheme="majorEastAsia"/>
          <w:lang w:bidi="en-US"/>
        </w:rPr>
        <w:t>zamez</w:t>
      </w:r>
      <w:r w:rsidR="004A3475" w:rsidRPr="00D57D3F">
        <w:rPr>
          <w:rFonts w:eastAsiaTheme="majorEastAsia"/>
          <w:lang w:bidi="en-US"/>
        </w:rPr>
        <w:t xml:space="preserve">ilo se </w:t>
      </w:r>
      <w:r w:rsidR="001158BB" w:rsidRPr="00D57D3F">
        <w:rPr>
          <w:rFonts w:eastAsiaTheme="majorEastAsia"/>
          <w:lang w:bidi="en-US"/>
        </w:rPr>
        <w:t>trestné činnosti související s krádež</w:t>
      </w:r>
      <w:r w:rsidR="00C936E5" w:rsidRPr="00D57D3F">
        <w:rPr>
          <w:rFonts w:eastAsiaTheme="majorEastAsia"/>
          <w:lang w:bidi="en-US"/>
        </w:rPr>
        <w:t>emi</w:t>
      </w:r>
      <w:r w:rsidR="001158BB" w:rsidRPr="00D57D3F">
        <w:rPr>
          <w:rFonts w:eastAsiaTheme="majorEastAsia"/>
          <w:lang w:bidi="en-US"/>
        </w:rPr>
        <w:t xml:space="preserve"> kovových předmětů a jejich prodeje</w:t>
      </w:r>
      <w:r w:rsidR="004A3475" w:rsidRPr="00D57D3F">
        <w:rPr>
          <w:rFonts w:eastAsiaTheme="majorEastAsia"/>
          <w:lang w:bidi="en-US"/>
        </w:rPr>
        <w:t>m</w:t>
      </w:r>
      <w:r w:rsidR="001158BB" w:rsidRPr="00D57D3F">
        <w:rPr>
          <w:rFonts w:eastAsiaTheme="majorEastAsia"/>
          <w:lang w:bidi="en-US"/>
        </w:rPr>
        <w:t xml:space="preserve"> do zařízení ke sběru a výkupu odpadů.</w:t>
      </w:r>
      <w:r w:rsidR="00C936E5" w:rsidRPr="00D57D3F">
        <w:rPr>
          <w:rFonts w:eastAsiaTheme="majorEastAsia"/>
          <w:lang w:bidi="en-US"/>
        </w:rPr>
        <w:t xml:space="preserve"> </w:t>
      </w:r>
      <w:r w:rsidRPr="00D57D3F">
        <w:rPr>
          <w:bCs/>
        </w:rPr>
        <w:t>Kontroly zařízení pro sběr</w:t>
      </w:r>
      <w:r w:rsidRPr="00D57D3F">
        <w:rPr>
          <w:bCs/>
        </w:rPr>
        <w:t xml:space="preserve"> a výkup kovových odpadů jsou pravidelně zařazovány do plánu kontrolních činností ČIŽP.</w:t>
      </w:r>
    </w:p>
    <w:p w:rsidR="005E27FB" w:rsidRPr="00D57D3F" w:rsidRDefault="008C12E6" w:rsidP="00C936E5">
      <w:pPr>
        <w:spacing w:after="360" w:line="276" w:lineRule="auto"/>
        <w:rPr>
          <w:bCs/>
        </w:rPr>
      </w:pPr>
      <w:r w:rsidRPr="00D57D3F">
        <w:rPr>
          <w:rFonts w:cstheme="minorHAnsi"/>
          <w:bCs/>
          <w:szCs w:val="24"/>
        </w:rPr>
        <w:t>Současně se v období 2019 a 2020 připravovala zcela nová právní úprava, která mnohé z povinností k zamezení krádeží kovů ještě více zpřísní a zakotví do zákona a provád</w:t>
      </w:r>
      <w:r w:rsidRPr="00D57D3F">
        <w:rPr>
          <w:rFonts w:cstheme="minorHAnsi"/>
          <w:bCs/>
          <w:szCs w:val="24"/>
        </w:rPr>
        <w:t>ěcího předpisu.</w:t>
      </w:r>
    </w:p>
    <w:p w:rsidR="0019281C" w:rsidRPr="00D57D3F" w:rsidRDefault="008C12E6" w:rsidP="00AF0A49">
      <w:pPr>
        <w:spacing w:after="60"/>
        <w:rPr>
          <w:b/>
          <w:bCs/>
        </w:rPr>
      </w:pPr>
      <w:r w:rsidRPr="00D57D3F">
        <w:rPr>
          <w:b/>
          <w:bCs/>
        </w:rPr>
        <w:t xml:space="preserve">Odpadní oleje </w:t>
      </w:r>
    </w:p>
    <w:p w:rsidR="0060747D" w:rsidRPr="00D57D3F" w:rsidRDefault="008C12E6" w:rsidP="0060747D">
      <w:pPr>
        <w:spacing w:after="120" w:line="276" w:lineRule="auto"/>
        <w:rPr>
          <w:szCs w:val="24"/>
        </w:rPr>
      </w:pPr>
      <w:r w:rsidRPr="00D57D3F">
        <w:rPr>
          <w:rFonts w:cstheme="minorHAnsi"/>
          <w:szCs w:val="24"/>
        </w:rPr>
        <w:t>Produkce odpadních olejů se dlouhodobě pohybuje okolo 39</w:t>
      </w:r>
      <w:r w:rsidR="0052271F" w:rsidRPr="00D57D3F">
        <w:rPr>
          <w:rFonts w:cstheme="minorHAnsi"/>
          <w:szCs w:val="24"/>
        </w:rPr>
        <w:t xml:space="preserve"> tis. t.</w:t>
      </w:r>
      <w:r w:rsidRPr="00D57D3F">
        <w:rPr>
          <w:rFonts w:cstheme="minorHAnsi"/>
          <w:szCs w:val="24"/>
        </w:rPr>
        <w:t xml:space="preserve"> V roce 201</w:t>
      </w:r>
      <w:r w:rsidR="009F3D2C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</w:t>
      </w:r>
      <w:r w:rsidR="00483DB1" w:rsidRPr="00D57D3F">
        <w:rPr>
          <w:rFonts w:cstheme="minorHAnsi"/>
          <w:szCs w:val="24"/>
        </w:rPr>
        <w:t xml:space="preserve">byla </w:t>
      </w:r>
      <w:r w:rsidRPr="00D57D3F">
        <w:rPr>
          <w:rFonts w:cstheme="minorHAnsi"/>
          <w:szCs w:val="24"/>
        </w:rPr>
        <w:t xml:space="preserve">produkce </w:t>
      </w:r>
      <w:r w:rsidR="0035550A" w:rsidRPr="00D57D3F">
        <w:rPr>
          <w:rFonts w:cstheme="minorHAnsi"/>
          <w:szCs w:val="24"/>
        </w:rPr>
        <w:t>40</w:t>
      </w:r>
      <w:r w:rsidR="00C936E5" w:rsidRPr="00D57D3F">
        <w:rPr>
          <w:rFonts w:cstheme="minorHAnsi"/>
          <w:szCs w:val="24"/>
        </w:rPr>
        <w:t xml:space="preserve"> tis. </w:t>
      </w:r>
      <w:r w:rsidRPr="00D57D3F">
        <w:rPr>
          <w:rFonts w:cstheme="minorHAnsi"/>
          <w:szCs w:val="24"/>
        </w:rPr>
        <w:t>t a v roce 20</w:t>
      </w:r>
      <w:r w:rsidR="009F3D2C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</w:t>
      </w:r>
      <w:r w:rsidR="0035550A" w:rsidRPr="00D57D3F">
        <w:rPr>
          <w:rFonts w:cstheme="minorHAnsi"/>
          <w:szCs w:val="24"/>
        </w:rPr>
        <w:t>poklesla na 30</w:t>
      </w:r>
      <w:r w:rsidR="00C936E5" w:rsidRPr="00D57D3F">
        <w:rPr>
          <w:rFonts w:cstheme="minorHAnsi"/>
          <w:szCs w:val="24"/>
        </w:rPr>
        <w:t xml:space="preserve"> tis. </w:t>
      </w:r>
      <w:r w:rsidRPr="00D57D3F">
        <w:rPr>
          <w:rFonts w:cstheme="minorHAnsi"/>
          <w:szCs w:val="24"/>
        </w:rPr>
        <w:t xml:space="preserve">t. Meziročně se množství odpadních olejů </w:t>
      </w:r>
      <w:r w:rsidR="0035550A" w:rsidRPr="00D57D3F">
        <w:rPr>
          <w:rFonts w:cstheme="minorHAnsi"/>
          <w:szCs w:val="24"/>
        </w:rPr>
        <w:t xml:space="preserve">významně snížilo, jedná se o pokles </w:t>
      </w:r>
      <w:r w:rsidRPr="00D57D3F">
        <w:rPr>
          <w:rFonts w:cstheme="minorHAnsi"/>
          <w:szCs w:val="24"/>
        </w:rPr>
        <w:t>o 2</w:t>
      </w:r>
      <w:r w:rsidR="0035550A" w:rsidRPr="00D57D3F">
        <w:rPr>
          <w:rFonts w:cstheme="minorHAnsi"/>
          <w:szCs w:val="24"/>
        </w:rPr>
        <w:t>5</w:t>
      </w:r>
      <w:r w:rsidRPr="00D57D3F">
        <w:rPr>
          <w:rFonts w:cstheme="minorHAnsi"/>
          <w:szCs w:val="24"/>
        </w:rPr>
        <w:t xml:space="preserve"> %.</w:t>
      </w:r>
      <w:r w:rsidR="00483DB1" w:rsidRPr="00D57D3F">
        <w:rPr>
          <w:rFonts w:cstheme="minorHAnsi"/>
          <w:szCs w:val="24"/>
        </w:rPr>
        <w:t xml:space="preserve"> </w:t>
      </w:r>
      <w:r w:rsidR="0052271F" w:rsidRPr="00D57D3F">
        <w:rPr>
          <w:rFonts w:cstheme="minorHAnsi"/>
          <w:szCs w:val="24"/>
        </w:rPr>
        <w:t>Většina odpadních olejů je</w:t>
      </w:r>
      <w:r w:rsidR="00395CFC" w:rsidRPr="00D57D3F">
        <w:rPr>
          <w:rFonts w:cstheme="minorHAnsi"/>
          <w:szCs w:val="24"/>
        </w:rPr>
        <w:t xml:space="preserve"> </w:t>
      </w:r>
      <w:r w:rsidR="0052271F" w:rsidRPr="00D57D3F">
        <w:rPr>
          <w:rFonts w:cstheme="minorHAnsi"/>
          <w:szCs w:val="24"/>
        </w:rPr>
        <w:t>materiálově využita</w:t>
      </w:r>
      <w:r w:rsidR="00483DB1" w:rsidRPr="00D57D3F">
        <w:rPr>
          <w:rFonts w:cstheme="minorHAnsi"/>
          <w:szCs w:val="24"/>
        </w:rPr>
        <w:t>, v roce 201</w:t>
      </w:r>
      <w:r w:rsidR="009F3D2C" w:rsidRPr="00D57D3F">
        <w:rPr>
          <w:rFonts w:cstheme="minorHAnsi"/>
          <w:szCs w:val="24"/>
        </w:rPr>
        <w:t>9</w:t>
      </w:r>
      <w:r w:rsidR="00483DB1" w:rsidRPr="00D57D3F">
        <w:rPr>
          <w:rFonts w:cstheme="minorHAnsi"/>
          <w:szCs w:val="24"/>
        </w:rPr>
        <w:t xml:space="preserve"> to bylo 8</w:t>
      </w:r>
      <w:r w:rsidR="0035550A" w:rsidRPr="00D57D3F">
        <w:rPr>
          <w:rFonts w:cstheme="minorHAnsi"/>
          <w:szCs w:val="24"/>
        </w:rPr>
        <w:t>1</w:t>
      </w:r>
      <w:r w:rsidR="00483DB1" w:rsidRPr="00D57D3F">
        <w:rPr>
          <w:rFonts w:cstheme="minorHAnsi"/>
          <w:szCs w:val="24"/>
        </w:rPr>
        <w:t xml:space="preserve"> % a v roce 20</w:t>
      </w:r>
      <w:r w:rsidR="009F3D2C" w:rsidRPr="00D57D3F">
        <w:rPr>
          <w:rFonts w:cstheme="minorHAnsi"/>
          <w:szCs w:val="24"/>
        </w:rPr>
        <w:t>20</w:t>
      </w:r>
      <w:r w:rsidR="00483DB1" w:rsidRPr="00D57D3F">
        <w:rPr>
          <w:rFonts w:cstheme="minorHAnsi"/>
          <w:szCs w:val="24"/>
        </w:rPr>
        <w:t xml:space="preserve"> až </w:t>
      </w:r>
      <w:r w:rsidR="0035550A" w:rsidRPr="00D57D3F">
        <w:rPr>
          <w:rFonts w:cstheme="minorHAnsi"/>
          <w:szCs w:val="24"/>
        </w:rPr>
        <w:t>65</w:t>
      </w:r>
      <w:r w:rsidR="00483DB1" w:rsidRPr="00D57D3F">
        <w:rPr>
          <w:rFonts w:cstheme="minorHAnsi"/>
          <w:szCs w:val="24"/>
        </w:rPr>
        <w:t> %. Zbývající odpadní oleje jsou energeticky využívány, v roce 201</w:t>
      </w:r>
      <w:r w:rsidR="009F3D2C" w:rsidRPr="00D57D3F">
        <w:rPr>
          <w:rFonts w:cstheme="minorHAnsi"/>
          <w:szCs w:val="24"/>
        </w:rPr>
        <w:t>9</w:t>
      </w:r>
      <w:r w:rsidR="00483DB1" w:rsidRPr="00D57D3F">
        <w:rPr>
          <w:rFonts w:cstheme="minorHAnsi"/>
          <w:szCs w:val="24"/>
        </w:rPr>
        <w:t xml:space="preserve"> to bylo 1</w:t>
      </w:r>
      <w:r w:rsidR="000E1ED2" w:rsidRPr="00D57D3F">
        <w:rPr>
          <w:rFonts w:cstheme="minorHAnsi"/>
          <w:szCs w:val="24"/>
        </w:rPr>
        <w:t xml:space="preserve">7 </w:t>
      </w:r>
      <w:r w:rsidR="00483DB1" w:rsidRPr="00D57D3F">
        <w:rPr>
          <w:rFonts w:cstheme="minorHAnsi"/>
          <w:szCs w:val="24"/>
        </w:rPr>
        <w:t xml:space="preserve">% a </w:t>
      </w:r>
      <w:r w:rsidR="000E1ED2" w:rsidRPr="00D57D3F">
        <w:rPr>
          <w:rFonts w:cstheme="minorHAnsi"/>
          <w:szCs w:val="24"/>
        </w:rPr>
        <w:t xml:space="preserve">jen 7,3 </w:t>
      </w:r>
      <w:r w:rsidR="00483DB1" w:rsidRPr="00D57D3F">
        <w:rPr>
          <w:rFonts w:cstheme="minorHAnsi"/>
          <w:szCs w:val="24"/>
        </w:rPr>
        <w:t>% v roce 20</w:t>
      </w:r>
      <w:r w:rsidR="009F3D2C" w:rsidRPr="00D57D3F">
        <w:rPr>
          <w:rFonts w:cstheme="minorHAnsi"/>
          <w:szCs w:val="24"/>
        </w:rPr>
        <w:t>20</w:t>
      </w:r>
      <w:r w:rsidR="00483DB1" w:rsidRPr="00D57D3F">
        <w:rPr>
          <w:rFonts w:cstheme="minorHAnsi"/>
          <w:szCs w:val="24"/>
        </w:rPr>
        <w:t>.</w:t>
      </w:r>
      <w:r w:rsidR="0020091F" w:rsidRPr="00D57D3F">
        <w:rPr>
          <w:rFonts w:cstheme="minorHAnsi"/>
          <w:szCs w:val="24"/>
        </w:rPr>
        <w:t xml:space="preserve"> </w:t>
      </w:r>
      <w:r w:rsidRPr="00D57D3F">
        <w:rPr>
          <w:rFonts w:cstheme="minorHAnsi"/>
          <w:szCs w:val="24"/>
        </w:rPr>
        <w:t xml:space="preserve">Přesto se stále ještě vyskytuje </w:t>
      </w:r>
      <w:r w:rsidRPr="00D57D3F">
        <w:rPr>
          <w:szCs w:val="24"/>
        </w:rPr>
        <w:t>nesprávné nakládání s odpadními</w:t>
      </w:r>
      <w:r w:rsidRPr="00D57D3F">
        <w:rPr>
          <w:szCs w:val="24"/>
        </w:rPr>
        <w:t xml:space="preserve"> oleji ohrožující zdraví lidí a</w:t>
      </w:r>
      <w:r w:rsidR="00C936E5" w:rsidRPr="00D57D3F">
        <w:rPr>
          <w:szCs w:val="24"/>
        </w:rPr>
        <w:t> </w:t>
      </w:r>
      <w:r w:rsidRPr="00D57D3F">
        <w:rPr>
          <w:szCs w:val="24"/>
        </w:rPr>
        <w:t xml:space="preserve">životní prostředí např. nevhodné spalování v energetických zdrojích. </w:t>
      </w:r>
    </w:p>
    <w:p w:rsidR="004E171D" w:rsidRPr="00D57D3F" w:rsidRDefault="008C12E6" w:rsidP="009F3D2C">
      <w:pPr>
        <w:spacing w:after="120" w:line="276" w:lineRule="auto"/>
        <w:rPr>
          <w:bCs/>
        </w:rPr>
      </w:pPr>
      <w:r w:rsidRPr="00D57D3F">
        <w:rPr>
          <w:bCs/>
        </w:rPr>
        <w:t>Kontroly zařízení pro nakládání s odpadními oleji jsou pravidelně zařazovány do plánu kontrolních činností ČIŽP.</w:t>
      </w:r>
    </w:p>
    <w:p w:rsidR="009F3D2C" w:rsidRPr="00D57D3F" w:rsidRDefault="008C12E6" w:rsidP="00C936E5">
      <w:pPr>
        <w:spacing w:after="360" w:line="276" w:lineRule="auto"/>
        <w:rPr>
          <w:bCs/>
        </w:rPr>
      </w:pPr>
      <w:r w:rsidRPr="00D57D3F">
        <w:rPr>
          <w:rFonts w:cstheme="minorHAnsi"/>
          <w:bCs/>
          <w:szCs w:val="24"/>
        </w:rPr>
        <w:t>V období 2019 a 2020 se připravovala zcel</w:t>
      </w:r>
      <w:r w:rsidRPr="00D57D3F">
        <w:rPr>
          <w:rFonts w:cstheme="minorHAnsi"/>
          <w:bCs/>
          <w:szCs w:val="24"/>
        </w:rPr>
        <w:t xml:space="preserve">a nová právní úprava, která klade ještě větší důraz na zamezení nevhodného mísení odpadních olejů a bude oleje směřovat zejména do regenerace. </w:t>
      </w:r>
    </w:p>
    <w:p w:rsidR="00F60E51" w:rsidRPr="00D57D3F" w:rsidRDefault="008C12E6" w:rsidP="00395CFC">
      <w:pPr>
        <w:spacing w:after="60" w:line="276" w:lineRule="auto"/>
        <w:rPr>
          <w:b/>
          <w:bCs/>
        </w:rPr>
      </w:pPr>
      <w:r w:rsidRPr="00D57D3F">
        <w:rPr>
          <w:b/>
          <w:bCs/>
        </w:rPr>
        <w:t>Odpady s obsahem azbes</w:t>
      </w:r>
      <w:r w:rsidR="00DB39A7" w:rsidRPr="00D57D3F">
        <w:rPr>
          <w:b/>
          <w:bCs/>
        </w:rPr>
        <w:t>t</w:t>
      </w:r>
      <w:r w:rsidRPr="00D57D3F">
        <w:rPr>
          <w:b/>
          <w:bCs/>
        </w:rPr>
        <w:t>u</w:t>
      </w:r>
      <w:r w:rsidR="002A0C5F" w:rsidRPr="00D57D3F">
        <w:rPr>
          <w:b/>
          <w:bCs/>
        </w:rPr>
        <w:t xml:space="preserve"> </w:t>
      </w:r>
    </w:p>
    <w:p w:rsidR="004F6916" w:rsidRPr="00D57D3F" w:rsidRDefault="008C12E6" w:rsidP="00700B52">
      <w:pPr>
        <w:spacing w:line="276" w:lineRule="auto"/>
      </w:pPr>
      <w:r w:rsidRPr="00D57D3F">
        <w:t>Produkce odpadů s obsahem azbestu se v</w:t>
      </w:r>
      <w:r w:rsidR="00700B52" w:rsidRPr="00D57D3F">
        <w:t> letech 201</w:t>
      </w:r>
      <w:r w:rsidR="000F674D" w:rsidRPr="00D57D3F">
        <w:t>9</w:t>
      </w:r>
      <w:r w:rsidRPr="00D57D3F">
        <w:t>-20</w:t>
      </w:r>
      <w:r w:rsidR="000F674D" w:rsidRPr="00D57D3F">
        <w:t>20</w:t>
      </w:r>
      <w:r w:rsidRPr="00D57D3F">
        <w:t xml:space="preserve"> </w:t>
      </w:r>
      <w:r w:rsidR="00406582" w:rsidRPr="00D57D3F">
        <w:t xml:space="preserve">významně zvýšila oproti dosavadní produkci v posledních letech, která se pohybovala okolo </w:t>
      </w:r>
      <w:r w:rsidRPr="00D57D3F">
        <w:t xml:space="preserve">35 tis. t. </w:t>
      </w:r>
      <w:r w:rsidR="00406582" w:rsidRPr="00D57D3F">
        <w:t>V roce 2019 byla produkce odpadu s obsahem azbestu 46,5 tis. t a v roce 2020 dosáhla až 69,8 tis.</w:t>
      </w:r>
      <w:r w:rsidR="0024227E" w:rsidRPr="00D57D3F">
        <w:t xml:space="preserve"> </w:t>
      </w:r>
      <w:r w:rsidR="00406582" w:rsidRPr="00D57D3F">
        <w:t>tun</w:t>
      </w:r>
      <w:r w:rsidR="0024227E" w:rsidRPr="00D57D3F">
        <w:t xml:space="preserve">, což lze přikládat i osvětě v oblasti těchto odpadů. </w:t>
      </w:r>
      <w:r w:rsidRPr="00D57D3F">
        <w:t>Všechny tyto odpady jsou bezpečně odstraněny uložením na skládky. MŽP ve spolupráci s Ministerstvem pro místní rozvoj a Ministerstvem zdravotnictví vypracovalo postup pro stavební úřady, jak v rámci povolování stavebních úprav, nástavby nebo přístavby a</w:t>
      </w:r>
      <w:r w:rsidR="00153454" w:rsidRPr="00D57D3F">
        <w:t> </w:t>
      </w:r>
      <w:r w:rsidRPr="00D57D3F">
        <w:t>po</w:t>
      </w:r>
      <w:r w:rsidRPr="00D57D3F">
        <w:t xml:space="preserve">volování odstraňování staveb ovlivnit žádoucím způsobem manipulaci s odpady z azbestu. </w:t>
      </w:r>
      <w:r w:rsidR="00700B52" w:rsidRPr="00D57D3F">
        <w:t xml:space="preserve"> </w:t>
      </w:r>
      <w:r w:rsidR="00700B52" w:rsidRPr="00D57D3F">
        <w:rPr>
          <w:i/>
        </w:rPr>
        <w:t>„</w:t>
      </w:r>
      <w:r w:rsidRPr="00D57D3F">
        <w:rPr>
          <w:i/>
        </w:rPr>
        <w:t>Metodický návod pro řízení vzniku odpadů s obsahem azbestu při provádění a odstraňování staveb a pro nakládání s</w:t>
      </w:r>
      <w:r w:rsidR="00700B52" w:rsidRPr="00D57D3F">
        <w:rPr>
          <w:i/>
        </w:rPr>
        <w:t> </w:t>
      </w:r>
      <w:r w:rsidRPr="00D57D3F">
        <w:rPr>
          <w:i/>
        </w:rPr>
        <w:t>nimi</w:t>
      </w:r>
      <w:r w:rsidR="00700B52" w:rsidRPr="00D57D3F">
        <w:rPr>
          <w:i/>
        </w:rPr>
        <w:t>“</w:t>
      </w:r>
      <w:r w:rsidRPr="00D57D3F">
        <w:t xml:space="preserve"> byl </w:t>
      </w:r>
      <w:r w:rsidR="00700B52" w:rsidRPr="00D57D3F">
        <w:t xml:space="preserve">vydán </w:t>
      </w:r>
      <w:r w:rsidRPr="00D57D3F">
        <w:t>v lednu 2018 za účelem zajištění správ</w:t>
      </w:r>
      <w:r w:rsidRPr="00D57D3F">
        <w:t>ného nakládání se stavebními materiály a odpady s obsahem azbestu. Popisuje kompetence a povinnosti jednotlivých orgánů státní správy v rámci nakládání se stavebními materiály, které obsahují azbest a následně se stavebními a demoličními odpady s obsahem a</w:t>
      </w:r>
      <w:r w:rsidRPr="00D57D3F">
        <w:t>zbestu. Aplikace návodu v praxi vede k minimalizaci zdravotních rizik při nakládání se stavebními materiály</w:t>
      </w:r>
      <w:r w:rsidR="00700B52" w:rsidRPr="00D57D3F">
        <w:t xml:space="preserve"> </w:t>
      </w:r>
      <w:r w:rsidRPr="00D57D3F">
        <w:t>a</w:t>
      </w:r>
      <w:r w:rsidR="00153454" w:rsidRPr="00D57D3F">
        <w:rPr>
          <w:sz w:val="28"/>
        </w:rPr>
        <w:t> </w:t>
      </w:r>
      <w:r w:rsidRPr="00D57D3F">
        <w:t xml:space="preserve">stavebními a demoličními odpady s obsahem azbestu. Předmětem tohoto metodického návodu jsou doporučené postupy, které pokud budou při přípravě </w:t>
      </w:r>
      <w:r w:rsidRPr="00D57D3F">
        <w:lastRenderedPageBreak/>
        <w:t>dok</w:t>
      </w:r>
      <w:r w:rsidRPr="00D57D3F">
        <w:t>umentace staveb a</w:t>
      </w:r>
      <w:r w:rsidR="00153454" w:rsidRPr="00D57D3F">
        <w:t> </w:t>
      </w:r>
      <w:r w:rsidRPr="00D57D3F">
        <w:t>jejich provádění odpovědnými osobami (projektantem, autorizovaným inspektorem, stavebníkem, stavbyvedoucím a stavebním dozorem) dodržovány, směřují k</w:t>
      </w:r>
      <w:r w:rsidR="00700B52" w:rsidRPr="00D57D3F">
        <w:t> </w:t>
      </w:r>
      <w:r w:rsidRPr="00D57D3F">
        <w:t xml:space="preserve">vysoké úrovni ochrany zdraví lidí při nakládání s odpady s obsahem azbestu a ke snížení </w:t>
      </w:r>
      <w:r w:rsidRPr="00D57D3F">
        <w:t>rizika znečišťování nebo ohrožení životního prostředí.</w:t>
      </w:r>
    </w:p>
    <w:p w:rsidR="00F60E51" w:rsidRPr="00D57D3F" w:rsidRDefault="008C12E6" w:rsidP="00752DE4">
      <w:pPr>
        <w:spacing w:after="360" w:line="276" w:lineRule="auto"/>
        <w:rPr>
          <w:rFonts w:cstheme="minorHAnsi"/>
          <w:szCs w:val="24"/>
        </w:rPr>
      </w:pPr>
      <w:r w:rsidRPr="00D57D3F">
        <w:rPr>
          <w:rFonts w:cstheme="minorHAnsi"/>
          <w:szCs w:val="24"/>
        </w:rPr>
        <w:t>Dle vyhlášky č. 294/2005 Sb., je možné ukládat odpady s obsahem azbestu na skládkách kategorie S-OO, za dodržení platných právních předpisů. Fyzické osoby jsou tak zproštěny od placení poplatku za uklá</w:t>
      </w:r>
      <w:r w:rsidRPr="00D57D3F">
        <w:rPr>
          <w:rFonts w:cstheme="minorHAnsi"/>
          <w:szCs w:val="24"/>
        </w:rPr>
        <w:t xml:space="preserve">dání nebezpečného odpadu na skládku a platí pouze poplatek za </w:t>
      </w:r>
      <w:r w:rsidR="0033055A" w:rsidRPr="00D57D3F">
        <w:rPr>
          <w:rFonts w:cstheme="minorHAnsi"/>
          <w:szCs w:val="24"/>
        </w:rPr>
        <w:t xml:space="preserve">skládkování </w:t>
      </w:r>
      <w:r w:rsidRPr="00D57D3F">
        <w:rPr>
          <w:rFonts w:cstheme="minorHAnsi"/>
          <w:szCs w:val="24"/>
        </w:rPr>
        <w:t>jako ostatního odpadu</w:t>
      </w:r>
      <w:r w:rsidR="005673D8" w:rsidRPr="00D57D3F">
        <w:rPr>
          <w:rFonts w:cstheme="minorHAnsi"/>
          <w:szCs w:val="24"/>
        </w:rPr>
        <w:t>, toto opatření významně přispívá k ochraně zdraví lidí a</w:t>
      </w:r>
      <w:r w:rsidR="0033055A" w:rsidRPr="00D57D3F">
        <w:rPr>
          <w:rFonts w:cstheme="minorHAnsi"/>
          <w:szCs w:val="24"/>
        </w:rPr>
        <w:t> </w:t>
      </w:r>
      <w:r w:rsidR="005673D8" w:rsidRPr="00D57D3F">
        <w:rPr>
          <w:rFonts w:cstheme="minorHAnsi"/>
          <w:szCs w:val="24"/>
        </w:rPr>
        <w:t>životního prostředí</w:t>
      </w:r>
      <w:r w:rsidRPr="00D57D3F">
        <w:rPr>
          <w:rFonts w:cstheme="minorHAnsi"/>
          <w:szCs w:val="24"/>
        </w:rPr>
        <w:t>.</w:t>
      </w:r>
      <w:r w:rsidR="000F674D" w:rsidRPr="00D57D3F">
        <w:rPr>
          <w:rFonts w:cstheme="minorHAnsi"/>
          <w:szCs w:val="24"/>
        </w:rPr>
        <w:t xml:space="preserve"> Se zachováním takového principu počítá i připravovaná nová právní úprava. </w:t>
      </w:r>
    </w:p>
    <w:p w:rsidR="00A43313" w:rsidRPr="00D57D3F" w:rsidRDefault="008C12E6" w:rsidP="005673D8">
      <w:pPr>
        <w:spacing w:after="60" w:line="276" w:lineRule="auto"/>
        <w:rPr>
          <w:b/>
          <w:bCs/>
        </w:rPr>
      </w:pPr>
      <w:r w:rsidRPr="00D57D3F">
        <w:rPr>
          <w:b/>
          <w:bCs/>
        </w:rPr>
        <w:t xml:space="preserve">Odpady </w:t>
      </w:r>
      <w:r w:rsidRPr="00D57D3F">
        <w:rPr>
          <w:b/>
          <w:bCs/>
        </w:rPr>
        <w:t>a zařízení s obsahem p</w:t>
      </w:r>
      <w:r w:rsidR="00F60E51" w:rsidRPr="00D57D3F">
        <w:rPr>
          <w:b/>
          <w:bCs/>
        </w:rPr>
        <w:t>olychlorovan</w:t>
      </w:r>
      <w:r w:rsidRPr="00D57D3F">
        <w:rPr>
          <w:b/>
          <w:bCs/>
        </w:rPr>
        <w:t>ých</w:t>
      </w:r>
      <w:r w:rsidR="00F60E51" w:rsidRPr="00D57D3F">
        <w:rPr>
          <w:b/>
          <w:bCs/>
        </w:rPr>
        <w:t xml:space="preserve"> bifenyl</w:t>
      </w:r>
      <w:r w:rsidRPr="00D57D3F">
        <w:rPr>
          <w:b/>
          <w:bCs/>
        </w:rPr>
        <w:t>ů (</w:t>
      </w:r>
      <w:r w:rsidR="00F60E51" w:rsidRPr="00D57D3F">
        <w:rPr>
          <w:b/>
          <w:bCs/>
        </w:rPr>
        <w:t>PCB</w:t>
      </w:r>
      <w:r w:rsidRPr="00D57D3F">
        <w:rPr>
          <w:b/>
          <w:bCs/>
        </w:rPr>
        <w:t>)</w:t>
      </w:r>
    </w:p>
    <w:p w:rsidR="00145AA1" w:rsidRPr="00D57D3F" w:rsidRDefault="008C12E6" w:rsidP="00145AA1">
      <w:pPr>
        <w:spacing w:line="276" w:lineRule="auto"/>
        <w:rPr>
          <w:rFonts w:cstheme="minorHAnsi"/>
          <w:szCs w:val="24"/>
        </w:rPr>
      </w:pPr>
      <w:r w:rsidRPr="00D57D3F">
        <w:rPr>
          <w:rFonts w:cstheme="minorHAnsi"/>
          <w:szCs w:val="24"/>
        </w:rPr>
        <w:t>V ČR byl v souladu se směrnicí 96/59/EC o odstraňování polychlorovaných bifenylů a</w:t>
      </w:r>
      <w:r w:rsidR="00B44859" w:rsidRPr="00D57D3F">
        <w:rPr>
          <w:rFonts w:cstheme="minorHAnsi"/>
          <w:szCs w:val="24"/>
        </w:rPr>
        <w:t> </w:t>
      </w:r>
      <w:r w:rsidRPr="00D57D3F">
        <w:rPr>
          <w:rFonts w:cstheme="minorHAnsi"/>
          <w:szCs w:val="24"/>
        </w:rPr>
        <w:t xml:space="preserve">polychlorovaných </w:t>
      </w:r>
      <w:proofErr w:type="spellStart"/>
      <w:r w:rsidRPr="00D57D3F">
        <w:rPr>
          <w:rFonts w:cstheme="minorHAnsi"/>
          <w:szCs w:val="24"/>
        </w:rPr>
        <w:t>terfenylů</w:t>
      </w:r>
      <w:proofErr w:type="spellEnd"/>
      <w:r w:rsidRPr="00D57D3F">
        <w:rPr>
          <w:rFonts w:cstheme="minorHAnsi"/>
          <w:szCs w:val="24"/>
        </w:rPr>
        <w:t xml:space="preserve"> (PCB/PCT) prováděn monitoring a reporting počtu zařízení obsahujících PCB. Počet </w:t>
      </w:r>
      <w:r w:rsidRPr="00D57D3F">
        <w:rPr>
          <w:rFonts w:cstheme="minorHAnsi"/>
          <w:szCs w:val="24"/>
        </w:rPr>
        <w:t>provozovaných zařízení s možným obsahem PCB k 31. 12. 2019 byl 18 967 ks. Počet provozovaných zařízení s možným obsahem PCB k 31. 12. 2020 byl 17 635 ks.</w:t>
      </w:r>
    </w:p>
    <w:p w:rsidR="00EF267F" w:rsidRPr="00D57D3F" w:rsidRDefault="008C12E6" w:rsidP="00474D36">
      <w:pPr>
        <w:spacing w:after="360" w:line="276" w:lineRule="auto"/>
        <w:rPr>
          <w:rFonts w:cstheme="minorHAnsi"/>
          <w:szCs w:val="24"/>
        </w:rPr>
      </w:pPr>
      <w:r w:rsidRPr="00D57D3F">
        <w:rPr>
          <w:rFonts w:cstheme="minorHAnsi"/>
          <w:szCs w:val="24"/>
        </w:rPr>
        <w:t xml:space="preserve">Došlo k poklesu, přesto je počet těchto zařízení vysoký. </w:t>
      </w:r>
      <w:r w:rsidR="00FD0937" w:rsidRPr="00D57D3F">
        <w:rPr>
          <w:rFonts w:cstheme="minorHAnsi"/>
          <w:szCs w:val="24"/>
        </w:rPr>
        <w:t>Zařízení postupně dosluhují a</w:t>
      </w:r>
      <w:r w:rsidR="005C448A" w:rsidRPr="00D57D3F">
        <w:rPr>
          <w:rFonts w:cstheme="minorHAnsi"/>
          <w:szCs w:val="24"/>
        </w:rPr>
        <w:t> </w:t>
      </w:r>
      <w:r w:rsidR="00FD0937" w:rsidRPr="00D57D3F">
        <w:rPr>
          <w:rFonts w:cstheme="minorHAnsi"/>
          <w:szCs w:val="24"/>
        </w:rPr>
        <w:t>p</w:t>
      </w:r>
      <w:r w:rsidR="000F674D" w:rsidRPr="00D57D3F">
        <w:rPr>
          <w:rFonts w:cstheme="minorHAnsi"/>
          <w:szCs w:val="24"/>
        </w:rPr>
        <w:t>rovozovatelé těchto zařízení jsou povinni změny ve skutečnostech</w:t>
      </w:r>
      <w:r w:rsidR="00145AA1" w:rsidRPr="00D57D3F">
        <w:rPr>
          <w:rFonts w:cstheme="minorHAnsi"/>
          <w:szCs w:val="24"/>
        </w:rPr>
        <w:t xml:space="preserve"> </w:t>
      </w:r>
      <w:r w:rsidR="000F674D" w:rsidRPr="00D57D3F">
        <w:rPr>
          <w:rFonts w:cstheme="minorHAnsi"/>
          <w:szCs w:val="24"/>
        </w:rPr>
        <w:t xml:space="preserve">ohlásit MŽP. </w:t>
      </w:r>
    </w:p>
    <w:p w:rsidR="00F60E51" w:rsidRPr="00D57D3F" w:rsidRDefault="008C12E6" w:rsidP="005673D8">
      <w:pPr>
        <w:spacing w:after="60" w:line="276" w:lineRule="auto"/>
        <w:rPr>
          <w:b/>
          <w:bCs/>
        </w:rPr>
      </w:pPr>
      <w:r w:rsidRPr="00D57D3F">
        <w:rPr>
          <w:b/>
          <w:bCs/>
        </w:rPr>
        <w:t xml:space="preserve">Odpady s obsahem perzistentních organických látek </w:t>
      </w:r>
      <w:r w:rsidR="00DB39A7" w:rsidRPr="00D57D3F">
        <w:rPr>
          <w:b/>
          <w:bCs/>
        </w:rPr>
        <w:t>(</w:t>
      </w:r>
      <w:proofErr w:type="spellStart"/>
      <w:r w:rsidR="00DB39A7" w:rsidRPr="00D57D3F">
        <w:rPr>
          <w:b/>
          <w:bCs/>
        </w:rPr>
        <w:t>POPs</w:t>
      </w:r>
      <w:proofErr w:type="spellEnd"/>
      <w:r w:rsidR="00DB39A7" w:rsidRPr="00D57D3F">
        <w:rPr>
          <w:b/>
          <w:bCs/>
        </w:rPr>
        <w:t>)</w:t>
      </w:r>
    </w:p>
    <w:p w:rsidR="0062263A" w:rsidRPr="00D57D3F" w:rsidRDefault="008C12E6" w:rsidP="00EB44C3">
      <w:pPr>
        <w:spacing w:after="120" w:line="276" w:lineRule="auto"/>
        <w:rPr>
          <w:rFonts w:cstheme="minorHAnsi"/>
          <w:szCs w:val="24"/>
        </w:rPr>
      </w:pPr>
      <w:r w:rsidRPr="00D57D3F">
        <w:rPr>
          <w:rFonts w:ascii="Calibri" w:hAnsi="Calibri" w:cstheme="minorHAnsi"/>
          <w:szCs w:val="24"/>
        </w:rPr>
        <w:t xml:space="preserve">Ke zvyšování povědomí o perzistentních organických znečišťujících látkách a jejich účincích na lidské zdraví a životní prostředí </w:t>
      </w:r>
      <w:r w:rsidRPr="00D57D3F">
        <w:rPr>
          <w:rFonts w:cstheme="minorHAnsi"/>
          <w:szCs w:val="24"/>
        </w:rPr>
        <w:t>přisp</w:t>
      </w:r>
      <w:r w:rsidRPr="00D57D3F">
        <w:rPr>
          <w:rFonts w:cstheme="minorHAnsi"/>
          <w:szCs w:val="24"/>
        </w:rPr>
        <w:t xml:space="preserve">ívá svou činností v rámci spolupráce s MŽP </w:t>
      </w:r>
      <w:r w:rsidRPr="00D57D3F">
        <w:rPr>
          <w:rFonts w:cstheme="minorHAnsi"/>
          <w:b/>
          <w:szCs w:val="24"/>
        </w:rPr>
        <w:t>Národní centrum pro toxické látky</w:t>
      </w:r>
      <w:r w:rsidRPr="00D57D3F">
        <w:rPr>
          <w:rFonts w:cstheme="minorHAnsi"/>
          <w:szCs w:val="24"/>
        </w:rPr>
        <w:t xml:space="preserve">, které je součástí </w:t>
      </w:r>
      <w:r w:rsidRPr="00D57D3F">
        <w:rPr>
          <w:rFonts w:cstheme="minorHAnsi"/>
          <w:b/>
          <w:szCs w:val="24"/>
        </w:rPr>
        <w:t>Centra pro výzkum toxických látek v prostředí (RECETOX) Masarykovy univerzity v Brně.</w:t>
      </w:r>
      <w:r w:rsidRPr="00D57D3F">
        <w:rPr>
          <w:rFonts w:cstheme="minorHAnsi"/>
          <w:szCs w:val="24"/>
        </w:rPr>
        <w:t xml:space="preserve"> V letech 201</w:t>
      </w:r>
      <w:r w:rsidR="004C51A4" w:rsidRPr="00D57D3F">
        <w:rPr>
          <w:rFonts w:cstheme="minorHAnsi"/>
          <w:szCs w:val="24"/>
        </w:rPr>
        <w:t>9</w:t>
      </w:r>
      <w:r w:rsidRPr="00D57D3F">
        <w:rPr>
          <w:rFonts w:cstheme="minorHAnsi"/>
          <w:szCs w:val="24"/>
        </w:rPr>
        <w:t xml:space="preserve"> a 20</w:t>
      </w:r>
      <w:r w:rsidR="004C51A4" w:rsidRPr="00D57D3F">
        <w:rPr>
          <w:rFonts w:cstheme="minorHAnsi"/>
          <w:szCs w:val="24"/>
        </w:rPr>
        <w:t>20</w:t>
      </w:r>
      <w:r w:rsidRPr="00D57D3F">
        <w:rPr>
          <w:rFonts w:cstheme="minorHAnsi"/>
          <w:szCs w:val="24"/>
        </w:rPr>
        <w:t xml:space="preserve"> provádělo Národní centrum řadu </w:t>
      </w:r>
      <w:r w:rsidRPr="00D57D3F">
        <w:rPr>
          <w:rFonts w:cstheme="minorHAnsi"/>
          <w:b/>
          <w:szCs w:val="24"/>
        </w:rPr>
        <w:t>osvětových aktivi</w:t>
      </w:r>
      <w:r w:rsidRPr="00D57D3F">
        <w:rPr>
          <w:rFonts w:cstheme="minorHAnsi"/>
          <w:szCs w:val="24"/>
        </w:rPr>
        <w:t>t s t</w:t>
      </w:r>
      <w:r w:rsidRPr="00D57D3F">
        <w:rPr>
          <w:rFonts w:cstheme="minorHAnsi"/>
          <w:szCs w:val="24"/>
        </w:rPr>
        <w:t xml:space="preserve">ématikou dotýkající se </w:t>
      </w:r>
      <w:proofErr w:type="spellStart"/>
      <w:r w:rsidRPr="00D57D3F">
        <w:rPr>
          <w:rFonts w:cstheme="minorHAnsi"/>
          <w:szCs w:val="24"/>
        </w:rPr>
        <w:t>POPs</w:t>
      </w:r>
      <w:proofErr w:type="spellEnd"/>
      <w:r w:rsidRPr="00D57D3F">
        <w:rPr>
          <w:rFonts w:cstheme="minorHAnsi"/>
          <w:szCs w:val="24"/>
        </w:rPr>
        <w:t xml:space="preserve">, mezi nimiž </w:t>
      </w:r>
      <w:r w:rsidR="006663E4" w:rsidRPr="00D57D3F">
        <w:rPr>
          <w:rFonts w:cstheme="minorHAnsi"/>
          <w:szCs w:val="24"/>
        </w:rPr>
        <w:t>byly</w:t>
      </w:r>
      <w:r w:rsidRPr="00D57D3F">
        <w:rPr>
          <w:rFonts w:cstheme="minorHAnsi"/>
          <w:szCs w:val="24"/>
        </w:rPr>
        <w:t>: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line="276" w:lineRule="auto"/>
      </w:pPr>
      <w:r w:rsidRPr="00D57D3F">
        <w:t xml:space="preserve">Cílené přednášky pro SŠ zejména na téma </w:t>
      </w:r>
      <w:proofErr w:type="spellStart"/>
      <w:r w:rsidRPr="00D57D3F">
        <w:t>mikroplasty</w:t>
      </w:r>
      <w:proofErr w:type="spellEnd"/>
      <w:r w:rsidRPr="00D57D3F">
        <w:t xml:space="preserve"> v</w:t>
      </w:r>
      <w:r w:rsidR="00ED3F18" w:rsidRPr="00D57D3F">
        <w:t> </w:t>
      </w:r>
      <w:r w:rsidRPr="00D57D3F">
        <w:t>prostředí</w:t>
      </w:r>
      <w:r w:rsidR="00ED3F18" w:rsidRPr="00D57D3F">
        <w:t>.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line="276" w:lineRule="auto"/>
      </w:pPr>
      <w:r w:rsidRPr="00D57D3F">
        <w:t xml:space="preserve">Noc </w:t>
      </w:r>
      <w:proofErr w:type="gramStart"/>
      <w:r w:rsidRPr="00D57D3F">
        <w:t>vědců - popularizace</w:t>
      </w:r>
      <w:proofErr w:type="gramEnd"/>
      <w:r w:rsidRPr="00D57D3F">
        <w:t xml:space="preserve"> tématu recyklace odpadů a jejich důsledky</w:t>
      </w:r>
      <w:r w:rsidR="00ED3F18" w:rsidRPr="00D57D3F">
        <w:t>.</w:t>
      </w:r>
      <w:r w:rsidRPr="00D57D3F">
        <w:t xml:space="preserve"> 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line="276" w:lineRule="auto"/>
      </w:pPr>
      <w:r w:rsidRPr="00D57D3F">
        <w:t xml:space="preserve">Přírodovědné </w:t>
      </w:r>
      <w:proofErr w:type="gramStart"/>
      <w:r w:rsidRPr="00D57D3F">
        <w:t>soutěže - N</w:t>
      </w:r>
      <w:proofErr w:type="gramEnd"/>
      <w:r w:rsidRPr="00D57D3F">
        <w:t>-</w:t>
      </w:r>
      <w:proofErr w:type="spellStart"/>
      <w:r w:rsidRPr="00D57D3F">
        <w:t>Trophy</w:t>
      </w:r>
      <w:proofErr w:type="spellEnd"/>
      <w:r w:rsidRPr="00D57D3F">
        <w:t xml:space="preserve">, </w:t>
      </w:r>
      <w:proofErr w:type="spellStart"/>
      <w:r w:rsidRPr="00D57D3F">
        <w:t>Vibuch</w:t>
      </w:r>
      <w:proofErr w:type="spellEnd"/>
      <w:r w:rsidRPr="00D57D3F">
        <w:t xml:space="preserve"> a IBIS</w:t>
      </w:r>
      <w:r w:rsidR="00ED3F18" w:rsidRPr="00D57D3F">
        <w:t>.</w:t>
      </w:r>
      <w:r w:rsidRPr="00D57D3F">
        <w:t xml:space="preserve"> 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line="276" w:lineRule="auto"/>
      </w:pPr>
      <w:r w:rsidRPr="00D57D3F">
        <w:t>Letní kempy pro talentované</w:t>
      </w:r>
      <w:r w:rsidRPr="00D57D3F">
        <w:t xml:space="preserve"> středoškoláky zaměřené na oběh/osud látek v</w:t>
      </w:r>
      <w:r w:rsidR="00ED3F18" w:rsidRPr="00D57D3F">
        <w:t> </w:t>
      </w:r>
      <w:r w:rsidRPr="00D57D3F">
        <w:t>prostředí</w:t>
      </w:r>
      <w:r w:rsidR="00ED3F18" w:rsidRPr="00D57D3F">
        <w:t>.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line="276" w:lineRule="auto"/>
        <w:ind w:left="714" w:hanging="357"/>
        <w:contextualSpacing w:val="0"/>
      </w:pPr>
      <w:r w:rsidRPr="00D57D3F">
        <w:t>Pořádání mezinárodní letní školy, workshopů a seminářů na národní i mezinárodní úrovni</w:t>
      </w:r>
      <w:r w:rsidR="00ED3F18" w:rsidRPr="00D57D3F">
        <w:t>.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line="276" w:lineRule="auto"/>
        <w:contextualSpacing w:val="0"/>
      </w:pPr>
      <w:r w:rsidRPr="00D57D3F">
        <w:t xml:space="preserve">Příspěvky na konferencích a </w:t>
      </w:r>
      <w:proofErr w:type="gramStart"/>
      <w:r w:rsidRPr="00D57D3F">
        <w:t>veletrzích - Konference</w:t>
      </w:r>
      <w:proofErr w:type="gramEnd"/>
      <w:r w:rsidRPr="00D57D3F">
        <w:t xml:space="preserve"> Ovzduší 2019, Brněnské dny pro zdraví</w:t>
      </w:r>
      <w:r w:rsidR="00ED3F18" w:rsidRPr="00D57D3F">
        <w:t>.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line="276" w:lineRule="auto"/>
      </w:pPr>
      <w:r w:rsidRPr="00D57D3F">
        <w:t>Exkurze v rámci výuko</w:t>
      </w:r>
      <w:r w:rsidRPr="00D57D3F">
        <w:t xml:space="preserve">vého </w:t>
      </w:r>
      <w:proofErr w:type="gramStart"/>
      <w:r w:rsidRPr="00D57D3F">
        <w:t>semináře - podniková</w:t>
      </w:r>
      <w:proofErr w:type="gramEnd"/>
      <w:r w:rsidRPr="00D57D3F">
        <w:t xml:space="preserve"> ekologie Cementárny Mokrá a</w:t>
      </w:r>
      <w:r w:rsidR="005C448A" w:rsidRPr="00D57D3F">
        <w:t> </w:t>
      </w:r>
      <w:r w:rsidRPr="00D57D3F">
        <w:t>odpadové hospodářství - Spalovny a sběrné dvory</w:t>
      </w:r>
      <w:r w:rsidR="00ED3F18" w:rsidRPr="00D57D3F">
        <w:t>.</w:t>
      </w:r>
    </w:p>
    <w:p w:rsidR="004C51A4" w:rsidRPr="00D57D3F" w:rsidRDefault="008C12E6" w:rsidP="004C51A4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</w:pPr>
      <w:r w:rsidRPr="00D57D3F">
        <w:t xml:space="preserve">Výuka na VŠ a semináře s tématikou Životní prostředí a </w:t>
      </w:r>
      <w:r w:rsidR="00C20896" w:rsidRPr="00D57D3F">
        <w:t>zdraví – Environmentální</w:t>
      </w:r>
      <w:r w:rsidRPr="00D57D3F">
        <w:t xml:space="preserve"> politiky, strategie a nástroje a případové studie</w:t>
      </w:r>
      <w:r w:rsidR="00ED3F18" w:rsidRPr="00D57D3F">
        <w:t xml:space="preserve"> a další. </w:t>
      </w:r>
    </w:p>
    <w:p w:rsidR="00E0536D" w:rsidRPr="00D57D3F" w:rsidRDefault="008C12E6" w:rsidP="00EB44C3">
      <w:pPr>
        <w:autoSpaceDE w:val="0"/>
        <w:autoSpaceDN w:val="0"/>
        <w:adjustRightInd w:val="0"/>
        <w:spacing w:after="120" w:line="276" w:lineRule="auto"/>
        <w:rPr>
          <w:rFonts w:cs="Calibri-OneByteIdentityH"/>
          <w:szCs w:val="24"/>
        </w:rPr>
      </w:pPr>
      <w:r w:rsidRPr="00D57D3F">
        <w:rPr>
          <w:rFonts w:cs="Calibri-OneByteIdentityH"/>
          <w:szCs w:val="24"/>
        </w:rPr>
        <w:lastRenderedPageBreak/>
        <w:t>V letech 201</w:t>
      </w:r>
      <w:r w:rsidR="004C51A4" w:rsidRPr="00D57D3F">
        <w:rPr>
          <w:rFonts w:cs="Calibri-OneByteIdentityH"/>
          <w:szCs w:val="24"/>
        </w:rPr>
        <w:t>9</w:t>
      </w:r>
      <w:r w:rsidR="001B5DB0" w:rsidRPr="00D57D3F">
        <w:rPr>
          <w:rFonts w:cs="Calibri-OneByteIdentityH"/>
          <w:szCs w:val="24"/>
        </w:rPr>
        <w:t>-</w:t>
      </w:r>
      <w:r w:rsidR="004C51A4" w:rsidRPr="00D57D3F">
        <w:rPr>
          <w:rFonts w:cs="Calibri-OneByteIdentityH"/>
          <w:szCs w:val="24"/>
        </w:rPr>
        <w:t>2020</w:t>
      </w:r>
      <w:r w:rsidRPr="00D57D3F">
        <w:rPr>
          <w:rFonts w:cs="Calibri-OneByteIdentityH"/>
          <w:szCs w:val="24"/>
        </w:rPr>
        <w:t xml:space="preserve"> </w:t>
      </w:r>
      <w:r w:rsidRPr="00D57D3F">
        <w:rPr>
          <w:rFonts w:cstheme="minorHAnsi"/>
          <w:szCs w:val="24"/>
        </w:rPr>
        <w:t>Národní centrum pro toxické látky</w:t>
      </w:r>
      <w:r w:rsidRPr="00D57D3F">
        <w:rPr>
          <w:rFonts w:cs="Calibri-OneByteIdentityH"/>
          <w:szCs w:val="24"/>
        </w:rPr>
        <w:t xml:space="preserve"> </w:t>
      </w:r>
      <w:r w:rsidR="004C51A4" w:rsidRPr="00D57D3F">
        <w:rPr>
          <w:rFonts w:cs="Calibri-OneByteIdentityH"/>
          <w:szCs w:val="24"/>
        </w:rPr>
        <w:t xml:space="preserve">realizovalo následující </w:t>
      </w:r>
      <w:r w:rsidR="004C51A4" w:rsidRPr="00D57D3F">
        <w:rPr>
          <w:rFonts w:cs="Calibri-OneByteIdentityH"/>
          <w:b/>
          <w:szCs w:val="24"/>
        </w:rPr>
        <w:t>4 projekty</w:t>
      </w:r>
      <w:r w:rsidR="004C51A4" w:rsidRPr="00D57D3F">
        <w:rPr>
          <w:rFonts w:cs="Calibri-OneByteIdentityH"/>
          <w:szCs w:val="24"/>
        </w:rPr>
        <w:t xml:space="preserve"> (2</w:t>
      </w:r>
      <w:r w:rsidR="005C448A" w:rsidRPr="00D57D3F">
        <w:rPr>
          <w:rFonts w:cs="Calibri-OneByteIdentityH"/>
          <w:szCs w:val="24"/>
        </w:rPr>
        <w:t> </w:t>
      </w:r>
      <w:r w:rsidR="004C51A4" w:rsidRPr="00D57D3F">
        <w:rPr>
          <w:rFonts w:cs="Calibri-OneByteIdentityH"/>
          <w:szCs w:val="24"/>
        </w:rPr>
        <w:t xml:space="preserve">národní a 2 mezinárodní) týkající se perzistentních organických polutantů: </w:t>
      </w:r>
    </w:p>
    <w:p w:rsidR="00ED3F18" w:rsidRPr="00D57D3F" w:rsidRDefault="008C12E6" w:rsidP="00474D3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 w:line="276" w:lineRule="auto"/>
        <w:ind w:left="714" w:hanging="357"/>
        <w:contextualSpacing w:val="0"/>
        <w:rPr>
          <w:rFonts w:cs="Calibri-OneByteIdentityH"/>
          <w:szCs w:val="24"/>
        </w:rPr>
      </w:pPr>
      <w:r w:rsidRPr="00D57D3F">
        <w:rPr>
          <w:rFonts w:cs="Calibri-OneByteIdentityH"/>
          <w:szCs w:val="24"/>
        </w:rPr>
        <w:t>Nové organické polutanty vznikající z recyklace organických odpadů z domácností, zemědělství, rybolovu</w:t>
      </w:r>
      <w:r w:rsidRPr="00D57D3F">
        <w:rPr>
          <w:rFonts w:cs="Calibri-OneByteIdentityH"/>
          <w:szCs w:val="24"/>
        </w:rPr>
        <w:t xml:space="preserve"> a riziko pro člověka (Projekt Novel </w:t>
      </w:r>
      <w:proofErr w:type="spellStart"/>
      <w:r w:rsidRPr="00D57D3F">
        <w:rPr>
          <w:rFonts w:cs="Calibri-OneByteIdentityH"/>
          <w:szCs w:val="24"/>
        </w:rPr>
        <w:t>organic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pollutants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from</w:t>
      </w:r>
      <w:proofErr w:type="spellEnd"/>
      <w:r w:rsidRPr="00D57D3F">
        <w:rPr>
          <w:rFonts w:cs="Calibri-OneByteIdentityH"/>
          <w:szCs w:val="24"/>
        </w:rPr>
        <w:t xml:space="preserve"> recycling </w:t>
      </w:r>
      <w:proofErr w:type="spellStart"/>
      <w:r w:rsidRPr="00D57D3F">
        <w:rPr>
          <w:rFonts w:cs="Calibri-OneByteIdentityH"/>
          <w:szCs w:val="24"/>
        </w:rPr>
        <w:t>of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organic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waste</w:t>
      </w:r>
      <w:proofErr w:type="spellEnd"/>
      <w:r w:rsidRPr="00D57D3F">
        <w:rPr>
          <w:rFonts w:cs="Calibri-OneByteIdentityH"/>
          <w:szCs w:val="24"/>
        </w:rPr>
        <w:t xml:space="preserve"> as risk </w:t>
      </w:r>
      <w:proofErr w:type="spellStart"/>
      <w:r w:rsidRPr="00D57D3F">
        <w:rPr>
          <w:rFonts w:cs="Calibri-OneByteIdentityH"/>
          <w:szCs w:val="24"/>
        </w:rPr>
        <w:t>factors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for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human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exposure</w:t>
      </w:r>
      <w:proofErr w:type="spellEnd"/>
      <w:r w:rsidRPr="00D57D3F">
        <w:rPr>
          <w:rFonts w:cs="Calibri-OneByteIdentityH"/>
          <w:szCs w:val="24"/>
        </w:rPr>
        <w:t xml:space="preserve"> (ES577371), který zahrnuje: - charakterizace zdrojů, </w:t>
      </w:r>
      <w:r w:rsidR="00474D36" w:rsidRPr="00D57D3F">
        <w:rPr>
          <w:rFonts w:cs="Calibri-OneByteIdentityH"/>
          <w:szCs w:val="24"/>
        </w:rPr>
        <w:t xml:space="preserve">- </w:t>
      </w:r>
      <w:r w:rsidRPr="00D57D3F">
        <w:rPr>
          <w:rFonts w:cs="Calibri-OneByteIdentityH"/>
          <w:szCs w:val="24"/>
        </w:rPr>
        <w:t xml:space="preserve">procesy rozptylu a expozice novým organickým polutantům z různých organických </w:t>
      </w:r>
      <w:r w:rsidRPr="00D57D3F">
        <w:rPr>
          <w:rFonts w:cs="Calibri-OneByteIdentityH"/>
          <w:szCs w:val="24"/>
        </w:rPr>
        <w:t xml:space="preserve">odpadů pocházejících z domácností, zemědělství, rybolovu, čištění odpadních vod, - rozsah expozice zvířat a lidí, - šíření látek v životním prostředí. </w:t>
      </w:r>
    </w:p>
    <w:p w:rsidR="00ED3F18" w:rsidRPr="00D57D3F" w:rsidRDefault="008C12E6" w:rsidP="00474D3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 w:line="276" w:lineRule="auto"/>
        <w:ind w:left="714" w:hanging="357"/>
        <w:contextualSpacing w:val="0"/>
        <w:rPr>
          <w:rFonts w:cs="Calibri-OneByteIdentityH"/>
          <w:szCs w:val="24"/>
        </w:rPr>
      </w:pPr>
      <w:r w:rsidRPr="00D57D3F">
        <w:rPr>
          <w:rFonts w:cs="Calibri-OneByteIdentityH"/>
          <w:szCs w:val="24"/>
        </w:rPr>
        <w:t xml:space="preserve">Směsi aditiv ze zvětralých </w:t>
      </w:r>
      <w:proofErr w:type="spellStart"/>
      <w:r w:rsidRPr="00D57D3F">
        <w:rPr>
          <w:rFonts w:cs="Calibri-OneByteIdentityH"/>
          <w:szCs w:val="24"/>
        </w:rPr>
        <w:t>mikroplastů</w:t>
      </w:r>
      <w:proofErr w:type="spellEnd"/>
      <w:r w:rsidRPr="00D57D3F">
        <w:rPr>
          <w:rFonts w:cs="Calibri-OneByteIdentityH"/>
          <w:szCs w:val="24"/>
        </w:rPr>
        <w:t xml:space="preserve"> a jejich účinky na sladkovodní organismy</w:t>
      </w:r>
      <w:r w:rsidR="00474D36" w:rsidRPr="00D57D3F">
        <w:rPr>
          <w:rFonts w:cs="Calibri-OneByteIdentityH"/>
          <w:szCs w:val="24"/>
        </w:rPr>
        <w:t>.</w:t>
      </w:r>
    </w:p>
    <w:p w:rsidR="00ED3F18" w:rsidRPr="00D57D3F" w:rsidRDefault="008C12E6" w:rsidP="00474D3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 w:line="276" w:lineRule="auto"/>
        <w:ind w:left="714" w:hanging="357"/>
        <w:contextualSpacing w:val="0"/>
        <w:rPr>
          <w:rFonts w:cs="Calibri-OneByteIdentityH"/>
          <w:szCs w:val="24"/>
        </w:rPr>
      </w:pPr>
      <w:proofErr w:type="spellStart"/>
      <w:r w:rsidRPr="00D57D3F">
        <w:rPr>
          <w:rFonts w:cs="Calibri-OneByteIdentityH"/>
          <w:szCs w:val="24"/>
        </w:rPr>
        <w:t>Synergising</w:t>
      </w:r>
      <w:proofErr w:type="spellEnd"/>
      <w:r w:rsidRPr="00D57D3F">
        <w:rPr>
          <w:rFonts w:cs="Calibri-OneByteIdentityH"/>
          <w:szCs w:val="24"/>
        </w:rPr>
        <w:t xml:space="preserve"> </w:t>
      </w:r>
      <w:r w:rsidRPr="00D57D3F">
        <w:rPr>
          <w:rFonts w:cs="Calibri-OneByteIdentityH"/>
          <w:szCs w:val="24"/>
        </w:rPr>
        <w:t xml:space="preserve">International </w:t>
      </w:r>
      <w:proofErr w:type="spellStart"/>
      <w:r w:rsidRPr="00D57D3F">
        <w:rPr>
          <w:rFonts w:cs="Calibri-OneByteIdentityH"/>
          <w:szCs w:val="24"/>
        </w:rPr>
        <w:t>Research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Studies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into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the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Environmental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Fate</w:t>
      </w:r>
      <w:proofErr w:type="spellEnd"/>
      <w:r w:rsidRPr="00D57D3F">
        <w:rPr>
          <w:rFonts w:cs="Calibri-OneByteIdentityH"/>
          <w:szCs w:val="24"/>
        </w:rPr>
        <w:t xml:space="preserve"> and </w:t>
      </w:r>
      <w:proofErr w:type="spellStart"/>
      <w:r w:rsidRPr="00D57D3F">
        <w:rPr>
          <w:rFonts w:cs="Calibri-OneByteIdentityH"/>
          <w:szCs w:val="24"/>
        </w:rPr>
        <w:t>Behaviour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of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Toxic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Organic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Chemicals</w:t>
      </w:r>
      <w:proofErr w:type="spellEnd"/>
      <w:r w:rsidRPr="00D57D3F">
        <w:rPr>
          <w:rFonts w:cs="Calibri-OneByteIdentityH"/>
          <w:szCs w:val="24"/>
        </w:rPr>
        <w:t xml:space="preserve"> in </w:t>
      </w:r>
      <w:proofErr w:type="spellStart"/>
      <w:r w:rsidRPr="00D57D3F">
        <w:rPr>
          <w:rFonts w:cs="Calibri-OneByteIdentityH"/>
          <w:szCs w:val="24"/>
        </w:rPr>
        <w:t>the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Waste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Stream</w:t>
      </w:r>
      <w:proofErr w:type="spellEnd"/>
      <w:r w:rsidRPr="00D57D3F">
        <w:rPr>
          <w:rFonts w:cs="Calibri-OneByteIdentityH"/>
          <w:szCs w:val="24"/>
        </w:rPr>
        <w:t>.</w:t>
      </w:r>
    </w:p>
    <w:p w:rsidR="00ED3F18" w:rsidRPr="00D57D3F" w:rsidRDefault="008C12E6" w:rsidP="00285DF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="Calibri-OneByteIdentityH"/>
          <w:szCs w:val="24"/>
        </w:rPr>
      </w:pPr>
      <w:proofErr w:type="spellStart"/>
      <w:r w:rsidRPr="00D57D3F">
        <w:rPr>
          <w:rFonts w:cs="Calibri-OneByteIdentityH"/>
          <w:szCs w:val="24"/>
        </w:rPr>
        <w:t>Hermetia</w:t>
      </w:r>
      <w:proofErr w:type="spellEnd"/>
      <w:r w:rsidRPr="00D57D3F">
        <w:rPr>
          <w:rFonts w:cs="Calibri-OneByteIdentityH"/>
          <w:szCs w:val="24"/>
        </w:rPr>
        <w:t xml:space="preserve"> </w:t>
      </w:r>
      <w:proofErr w:type="spellStart"/>
      <w:r w:rsidRPr="00D57D3F">
        <w:rPr>
          <w:rFonts w:cs="Calibri-OneByteIdentityH"/>
          <w:szCs w:val="24"/>
        </w:rPr>
        <w:t>illucens</w:t>
      </w:r>
      <w:proofErr w:type="spellEnd"/>
      <w:r w:rsidRPr="00D57D3F">
        <w:rPr>
          <w:rFonts w:cs="Calibri-OneByteIdentityH"/>
          <w:szCs w:val="24"/>
        </w:rPr>
        <w:t xml:space="preserve"> a zpracování hnoje zaměřené osud veterinárních antibiotik, jejich degradačních produktů a genů antibiotické rezistenc</w:t>
      </w:r>
      <w:r w:rsidRPr="00D57D3F">
        <w:rPr>
          <w:rFonts w:cs="Calibri-OneByteIdentityH"/>
          <w:szCs w:val="24"/>
        </w:rPr>
        <w:t>e (GJ19-11782Y)</w:t>
      </w:r>
      <w:r w:rsidR="00474D36" w:rsidRPr="00D57D3F">
        <w:rPr>
          <w:rFonts w:cs="Calibri-OneByteIdentityH"/>
          <w:szCs w:val="24"/>
        </w:rPr>
        <w:t xml:space="preserve">. </w:t>
      </w:r>
    </w:p>
    <w:p w:rsidR="000F5FCB" w:rsidRPr="00D57D3F" w:rsidRDefault="008C12E6" w:rsidP="000F5FCB">
      <w:pPr>
        <w:spacing w:after="120"/>
      </w:pPr>
      <w:r w:rsidRPr="00D57D3F">
        <w:t xml:space="preserve">V návaznosti na požadavky nařízení (EU) 2019/1021 o </w:t>
      </w:r>
      <w:proofErr w:type="spellStart"/>
      <w:r w:rsidRPr="00D57D3F">
        <w:t>POPs</w:t>
      </w:r>
      <w:proofErr w:type="spellEnd"/>
      <w:r w:rsidRPr="00D57D3F">
        <w:t xml:space="preserve"> jsou sledovány parametry popílků ze spaloven </w:t>
      </w:r>
      <w:r w:rsidR="004617F5" w:rsidRPr="00D57D3F">
        <w:t xml:space="preserve">nebezpečných odpadů </w:t>
      </w:r>
      <w:r w:rsidRPr="00D57D3F">
        <w:t xml:space="preserve">při skládkování. ČIŽP každý rok provádí kontroly skládek nebezpečných odpadů. </w:t>
      </w:r>
      <w:r w:rsidR="004617F5" w:rsidRPr="00D57D3F">
        <w:t>Je používána stab</w:t>
      </w:r>
      <w:r w:rsidRPr="00D57D3F">
        <w:t>ilizac</w:t>
      </w:r>
      <w:r w:rsidR="004617F5" w:rsidRPr="00D57D3F">
        <w:t>e</w:t>
      </w:r>
      <w:r w:rsidRPr="00D57D3F">
        <w:t>/</w:t>
      </w:r>
      <w:proofErr w:type="spellStart"/>
      <w:r w:rsidRPr="00D57D3F">
        <w:t>solidifikac</w:t>
      </w:r>
      <w:r w:rsidR="004617F5" w:rsidRPr="00D57D3F">
        <w:t>e</w:t>
      </w:r>
      <w:proofErr w:type="spellEnd"/>
      <w:r w:rsidRPr="00D57D3F">
        <w:t xml:space="preserve"> popílků ze spalov</w:t>
      </w:r>
      <w:r w:rsidR="004617F5" w:rsidRPr="00D57D3F">
        <w:t>ání nebezpečných odpadů.</w:t>
      </w:r>
    </w:p>
    <w:p w:rsidR="00285DFF" w:rsidRPr="00D57D3F" w:rsidRDefault="008C12E6" w:rsidP="004617F5">
      <w:r w:rsidRPr="00D57D3F">
        <w:t xml:space="preserve">V roce 2020 byla připravována nová vyhláška o podrobnostech nakládání s odpady, která stanoví technické požadavky pro nakládání s odpady </w:t>
      </w:r>
      <w:proofErr w:type="spellStart"/>
      <w:r w:rsidRPr="00D57D3F">
        <w:t>POPs</w:t>
      </w:r>
      <w:proofErr w:type="spellEnd"/>
      <w:r w:rsidR="000F5FCB" w:rsidRPr="00D57D3F">
        <w:t xml:space="preserve"> a </w:t>
      </w:r>
      <w:r w:rsidR="007D6A5D" w:rsidRPr="00D57D3F">
        <w:t xml:space="preserve">také zavádí </w:t>
      </w:r>
      <w:r w:rsidR="000F5FCB" w:rsidRPr="00D57D3F">
        <w:t>ohlašovací povinnosti k </w:t>
      </w:r>
      <w:proofErr w:type="spellStart"/>
      <w:r w:rsidR="000F5FCB" w:rsidRPr="00D57D3F">
        <w:t>POPs</w:t>
      </w:r>
      <w:proofErr w:type="spellEnd"/>
      <w:r w:rsidR="000F5FCB" w:rsidRPr="00D57D3F">
        <w:t xml:space="preserve"> v odpadech</w:t>
      </w:r>
      <w:r w:rsidRPr="00D57D3F">
        <w:t>.</w:t>
      </w:r>
    </w:p>
    <w:p w:rsidR="004617F5" w:rsidRPr="00D57D3F" w:rsidRDefault="004617F5" w:rsidP="004617F5">
      <w:pPr>
        <w:rPr>
          <w:rFonts w:cs="Calibri-OneByteIdentityH"/>
          <w:szCs w:val="24"/>
        </w:rPr>
      </w:pPr>
    </w:p>
    <w:p w:rsidR="00F60E51" w:rsidRPr="00D57D3F" w:rsidRDefault="008C12E6" w:rsidP="005673D8">
      <w:pPr>
        <w:spacing w:after="60" w:line="276" w:lineRule="auto"/>
        <w:rPr>
          <w:b/>
          <w:bCs/>
        </w:rPr>
      </w:pPr>
      <w:r w:rsidRPr="00D57D3F">
        <w:rPr>
          <w:b/>
          <w:bCs/>
        </w:rPr>
        <w:t>Odpady s obsahe</w:t>
      </w:r>
      <w:r w:rsidRPr="00D57D3F">
        <w:rPr>
          <w:b/>
          <w:bCs/>
        </w:rPr>
        <w:t>m přírodních radionuklidů</w:t>
      </w:r>
    </w:p>
    <w:p w:rsidR="00CF2398" w:rsidRPr="00D57D3F" w:rsidRDefault="008C12E6" w:rsidP="0008316D">
      <w:pPr>
        <w:spacing w:after="60" w:line="276" w:lineRule="auto"/>
      </w:pPr>
      <w:r w:rsidRPr="00D57D3F">
        <w:t xml:space="preserve">V současnosti nakládání s těmito odpady podléhá atomovému zákonu a zajištěna plná </w:t>
      </w:r>
      <w:r w:rsidR="00CE3221" w:rsidRPr="00D57D3F">
        <w:t xml:space="preserve">ochrana </w:t>
      </w:r>
      <w:r w:rsidRPr="00D57D3F">
        <w:t>lidského zdraví a</w:t>
      </w:r>
      <w:r w:rsidR="00DE7B73" w:rsidRPr="00D57D3F">
        <w:t> </w:t>
      </w:r>
      <w:r w:rsidRPr="00D57D3F">
        <w:t xml:space="preserve">životního prostředí. Pokud odpad nesplní podmínky stanovené tímto zákonem pro uvolňování radioaktivní látky z pracoviště, </w:t>
      </w:r>
      <w:r w:rsidRPr="00D57D3F">
        <w:t>jedná se o radioaktivní odpad, který je vyloučený z působnosti zákona o</w:t>
      </w:r>
      <w:r w:rsidR="00CE3221" w:rsidRPr="00D57D3F">
        <w:t> </w:t>
      </w:r>
      <w:r w:rsidRPr="00D57D3F">
        <w:t>odpadech, a s tímto nakládáno podle atomového zákona. Pokud splní podmínky pro uvolnění, pak je s nimi nakládáno plně v režimu zákona o odpadech.</w:t>
      </w:r>
    </w:p>
    <w:p w:rsidR="0008316D" w:rsidRPr="00D57D3F" w:rsidRDefault="0008316D" w:rsidP="0008316D">
      <w:pPr>
        <w:spacing w:after="60" w:line="276" w:lineRule="auto"/>
      </w:pPr>
    </w:p>
    <w:p w:rsidR="00512D17" w:rsidRPr="00D57D3F" w:rsidRDefault="008C12E6" w:rsidP="005673D8">
      <w:pPr>
        <w:spacing w:after="60" w:line="276" w:lineRule="auto"/>
        <w:rPr>
          <w:b/>
          <w:bCs/>
          <w:sz w:val="26"/>
          <w:szCs w:val="26"/>
          <w:u w:val="single"/>
        </w:rPr>
      </w:pPr>
      <w:r w:rsidRPr="00D57D3F">
        <w:rPr>
          <w:b/>
          <w:bCs/>
          <w:sz w:val="26"/>
          <w:szCs w:val="26"/>
          <w:u w:val="single"/>
        </w:rPr>
        <w:t>Přeshraniční přeprava</w:t>
      </w:r>
    </w:p>
    <w:p w:rsidR="0071328F" w:rsidRPr="00D57D3F" w:rsidRDefault="008C12E6" w:rsidP="00F12E8F">
      <w:pPr>
        <w:spacing w:after="120" w:line="276" w:lineRule="auto"/>
        <w:rPr>
          <w:b/>
          <w:bCs/>
        </w:rPr>
      </w:pPr>
      <w:r w:rsidRPr="00D57D3F">
        <w:rPr>
          <w:bCs/>
        </w:rPr>
        <w:t>Přeshraniční př</w:t>
      </w:r>
      <w:r w:rsidRPr="00D57D3F">
        <w:rPr>
          <w:bCs/>
        </w:rPr>
        <w:t>eprava se řídí N</w:t>
      </w:r>
      <w:r w:rsidR="001A4130" w:rsidRPr="00D57D3F">
        <w:rPr>
          <w:bCs/>
        </w:rPr>
        <w:t>ařízení</w:t>
      </w:r>
      <w:r w:rsidRPr="00D57D3F">
        <w:rPr>
          <w:bCs/>
        </w:rPr>
        <w:t>m</w:t>
      </w:r>
      <w:r w:rsidR="001A4130" w:rsidRPr="00D57D3F">
        <w:rPr>
          <w:bCs/>
        </w:rPr>
        <w:t xml:space="preserve"> Evropského parlamentu a Rady (ES) č. 1013/2006 o přepravě odpadů.  MŽP vykonává funkci příslušného orgánu pro přeshraniční přepravu odpadů. Rozhodnutí o souhlasu nebo námitce k přeshraniční přepravě odpadů vydává </w:t>
      </w:r>
      <w:r w:rsidR="008D5F6F" w:rsidRPr="00D57D3F">
        <w:rPr>
          <w:bCs/>
        </w:rPr>
        <w:t>MŽP</w:t>
      </w:r>
      <w:r w:rsidR="001A4130" w:rsidRPr="00D57D3F">
        <w:rPr>
          <w:bCs/>
        </w:rPr>
        <w:t xml:space="preserve"> ve správním řízení.</w:t>
      </w:r>
      <w:r w:rsidR="008D5F6F" w:rsidRPr="00D57D3F">
        <w:rPr>
          <w:bCs/>
        </w:rPr>
        <w:t xml:space="preserve"> </w:t>
      </w:r>
      <w:r w:rsidR="003D79AC" w:rsidRPr="00D57D3F">
        <w:rPr>
          <w:bCs/>
        </w:rPr>
        <w:t>Přeshraniční přeprava odpadů do ČR je povolována jen za účelem využití v</w:t>
      </w:r>
      <w:r w:rsidR="00594108" w:rsidRPr="00D57D3F">
        <w:rPr>
          <w:bCs/>
        </w:rPr>
        <w:t> </w:t>
      </w:r>
      <w:r w:rsidR="003D79AC" w:rsidRPr="00D57D3F">
        <w:rPr>
          <w:bCs/>
        </w:rPr>
        <w:t xml:space="preserve">zařízeních, která jsou provozována na základě souhlasů </w:t>
      </w:r>
      <w:r w:rsidR="0063134E" w:rsidRPr="00D57D3F">
        <w:rPr>
          <w:bCs/>
        </w:rPr>
        <w:t xml:space="preserve">nebo povolení </w:t>
      </w:r>
      <w:r w:rsidR="003D79AC" w:rsidRPr="00D57D3F">
        <w:rPr>
          <w:bCs/>
        </w:rPr>
        <w:t>vydaných podle zákona o</w:t>
      </w:r>
      <w:r w:rsidR="0041244F" w:rsidRPr="00D57D3F">
        <w:rPr>
          <w:bCs/>
        </w:rPr>
        <w:t> </w:t>
      </w:r>
      <w:r w:rsidR="003D79AC" w:rsidRPr="00D57D3F">
        <w:rPr>
          <w:bCs/>
        </w:rPr>
        <w:t>odpadech příp</w:t>
      </w:r>
      <w:r w:rsidR="00831E03" w:rsidRPr="00D57D3F">
        <w:rPr>
          <w:bCs/>
        </w:rPr>
        <w:t>adně</w:t>
      </w:r>
      <w:r w:rsidR="003D79AC" w:rsidRPr="00D57D3F">
        <w:rPr>
          <w:bCs/>
        </w:rPr>
        <w:t xml:space="preserve"> zákona o integrované prevenci. Obdobná hlediska jsou </w:t>
      </w:r>
      <w:r w:rsidR="003D79AC" w:rsidRPr="00D57D3F">
        <w:rPr>
          <w:bCs/>
        </w:rPr>
        <w:lastRenderedPageBreak/>
        <w:t xml:space="preserve">uplatňována při přeshraniční přepravě odpadů z ČR, posouzení konkrétního záměru je zde ovšem především na úřadu země určení. </w:t>
      </w:r>
      <w:r w:rsidR="008D5F6F" w:rsidRPr="00D57D3F">
        <w:rPr>
          <w:b/>
          <w:bCs/>
        </w:rPr>
        <w:t>Cíl je plněn.</w:t>
      </w:r>
    </w:p>
    <w:p w:rsidR="00FE0669" w:rsidRPr="00D57D3F" w:rsidRDefault="008C12E6" w:rsidP="00F12E8F">
      <w:pPr>
        <w:spacing w:after="120" w:line="276" w:lineRule="auto"/>
        <w:rPr>
          <w:bCs/>
        </w:rPr>
      </w:pPr>
      <w:r w:rsidRPr="00D57D3F">
        <w:rPr>
          <w:bCs/>
        </w:rPr>
        <w:t>V letech 201</w:t>
      </w:r>
      <w:r w:rsidR="0063134E" w:rsidRPr="00D57D3F">
        <w:rPr>
          <w:bCs/>
        </w:rPr>
        <w:t>9</w:t>
      </w:r>
      <w:r w:rsidRPr="00D57D3F">
        <w:rPr>
          <w:bCs/>
        </w:rPr>
        <w:t xml:space="preserve"> a 20</w:t>
      </w:r>
      <w:r w:rsidR="0063134E" w:rsidRPr="00D57D3F">
        <w:rPr>
          <w:bCs/>
        </w:rPr>
        <w:t>20</w:t>
      </w:r>
      <w:r w:rsidRPr="00D57D3F">
        <w:rPr>
          <w:bCs/>
        </w:rPr>
        <w:t xml:space="preserve"> se postupovalo podle schváleného Plánu kontrol přepravy odpadů</w:t>
      </w:r>
      <w:r w:rsidR="0063134E" w:rsidRPr="00D57D3F">
        <w:rPr>
          <w:bCs/>
        </w:rPr>
        <w:t>.</w:t>
      </w:r>
      <w:r w:rsidRPr="00D57D3F">
        <w:rPr>
          <w:bCs/>
        </w:rPr>
        <w:t xml:space="preserve"> </w:t>
      </w:r>
      <w:r w:rsidR="008A35B1" w:rsidRPr="00D57D3F">
        <w:rPr>
          <w:bCs/>
        </w:rPr>
        <w:t xml:space="preserve">Plán kontrol byl revidován v r. 2019 a vztahuje se na období </w:t>
      </w:r>
      <w:r w:rsidR="00C20896" w:rsidRPr="00D57D3F">
        <w:rPr>
          <w:bCs/>
        </w:rPr>
        <w:t>2020–2022</w:t>
      </w:r>
      <w:r w:rsidR="008A35B1" w:rsidRPr="00D57D3F">
        <w:rPr>
          <w:bCs/>
        </w:rPr>
        <w:t xml:space="preserve">. </w:t>
      </w:r>
      <w:r w:rsidR="0063134E" w:rsidRPr="00D57D3F">
        <w:rPr>
          <w:bCs/>
        </w:rPr>
        <w:t>T</w:t>
      </w:r>
      <w:r w:rsidR="003D79AC" w:rsidRPr="00D57D3F">
        <w:rPr>
          <w:bCs/>
        </w:rPr>
        <w:t>říletý Plán kontrol přeprav odpadů</w:t>
      </w:r>
      <w:r w:rsidR="0063134E" w:rsidRPr="00D57D3F">
        <w:rPr>
          <w:bCs/>
        </w:rPr>
        <w:t xml:space="preserve"> </w:t>
      </w:r>
      <w:r w:rsidR="003D79AC" w:rsidRPr="00D57D3F">
        <w:rPr>
          <w:bCs/>
        </w:rPr>
        <w:t>kromě kontrolní činnosti všech orgánů, které mají kontrolní pravomoc v</w:t>
      </w:r>
      <w:r w:rsidR="008A35B1" w:rsidRPr="00D57D3F">
        <w:rPr>
          <w:bCs/>
        </w:rPr>
        <w:t> </w:t>
      </w:r>
      <w:r w:rsidR="003D79AC" w:rsidRPr="00D57D3F">
        <w:rPr>
          <w:bCs/>
        </w:rPr>
        <w:t>oblasti přeshraniční přepravy odpadů, je zaměřen i na zvýšení povědomí ostatních subjektů zapojených do přeshraniční přepravy odpadů. M</w:t>
      </w:r>
      <w:r w:rsidR="00D111D8" w:rsidRPr="00D57D3F">
        <w:rPr>
          <w:bCs/>
        </w:rPr>
        <w:t>ŽP</w:t>
      </w:r>
      <w:r w:rsidR="003D79AC" w:rsidRPr="00D57D3F">
        <w:rPr>
          <w:bCs/>
        </w:rPr>
        <w:t xml:space="preserve"> a kontrolní orgány </w:t>
      </w:r>
      <w:r w:rsidRPr="00D57D3F">
        <w:rPr>
          <w:bCs/>
        </w:rPr>
        <w:t xml:space="preserve">(ČIŽP a Celní správa) </w:t>
      </w:r>
      <w:r w:rsidR="003D79AC" w:rsidRPr="00D57D3F">
        <w:rPr>
          <w:bCs/>
        </w:rPr>
        <w:t>navzájem trvale spolupracují v rámci ČR i s orgány sousedních států při předcházení, odhalování a postihování nedovolené přepravy odpadů.</w:t>
      </w:r>
    </w:p>
    <w:p w:rsidR="00097262" w:rsidRPr="00D57D3F" w:rsidRDefault="008C12E6" w:rsidP="00097262">
      <w:pPr>
        <w:spacing w:after="120" w:line="276" w:lineRule="auto"/>
        <w:rPr>
          <w:b/>
          <w:bCs/>
          <w:color w:val="FF0000"/>
        </w:rPr>
      </w:pPr>
      <w:r w:rsidRPr="00D57D3F">
        <w:rPr>
          <w:bCs/>
        </w:rPr>
        <w:t>Kontrola přeshraniční přepravy probíhá průběžn</w:t>
      </w:r>
      <w:r w:rsidRPr="00D57D3F">
        <w:rPr>
          <w:bCs/>
        </w:rPr>
        <w:t>ě, ve spolupráci ČIŽP a orgánů Celní správy České republiky.</w:t>
      </w:r>
      <w:r w:rsidRPr="00D57D3F">
        <w:rPr>
          <w:b/>
          <w:bCs/>
          <w:color w:val="FF0000"/>
        </w:rPr>
        <w:t xml:space="preserve"> </w:t>
      </w:r>
    </w:p>
    <w:p w:rsidR="0058079B" w:rsidRPr="00D57D3F" w:rsidRDefault="008C12E6" w:rsidP="00097262">
      <w:pPr>
        <w:spacing w:after="120" w:line="276" w:lineRule="auto"/>
        <w:rPr>
          <w:bCs/>
        </w:rPr>
      </w:pPr>
      <w:r w:rsidRPr="00D57D3F">
        <w:rPr>
          <w:bCs/>
        </w:rPr>
        <w:t>V roce 2019 bylo provedeno 1577 kontrol vozidel a zjištěno 60 předpokládaných nedovolených přeprav v rámci kontrol, 16 kontrol během celního řízení a zjištěno 4 porušení, 69 kontrol v provozovná</w:t>
      </w:r>
      <w:r w:rsidRPr="00D57D3F">
        <w:rPr>
          <w:bCs/>
        </w:rPr>
        <w:t>ch a zjištěno 23 porušení.</w:t>
      </w:r>
    </w:p>
    <w:p w:rsidR="008A35B1" w:rsidRPr="00D57D3F" w:rsidRDefault="008C12E6" w:rsidP="008A35B1">
      <w:pPr>
        <w:spacing w:after="360" w:line="276" w:lineRule="auto"/>
        <w:rPr>
          <w:bCs/>
        </w:rPr>
      </w:pPr>
      <w:r w:rsidRPr="00D57D3F">
        <w:rPr>
          <w:bCs/>
        </w:rPr>
        <w:t>V roce 2020 bylo provedeno 1177 kontrol vozidel a zjištěno 74 předpokládaných nedovolených přeprav v rámci kontrol, 15 kontrol během celního řízení a zjištěno 2 porušení, 56 kontrol v provozovnách a zjištěno 21 porušení.</w:t>
      </w:r>
    </w:p>
    <w:p w:rsidR="0063134E" w:rsidRPr="00D57D3F" w:rsidRDefault="008C12E6" w:rsidP="0029643F">
      <w:pPr>
        <w:spacing w:after="6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 xml:space="preserve">Změny legislativy a nová </w:t>
      </w:r>
      <w:r w:rsidR="007774A9" w:rsidRPr="00D57D3F">
        <w:rPr>
          <w:b/>
          <w:sz w:val="26"/>
          <w:szCs w:val="26"/>
          <w:u w:val="single"/>
        </w:rPr>
        <w:t>legislativ</w:t>
      </w:r>
      <w:r w:rsidR="007774A9">
        <w:rPr>
          <w:b/>
          <w:sz w:val="26"/>
          <w:szCs w:val="26"/>
          <w:u w:val="single"/>
        </w:rPr>
        <w:t>a</w:t>
      </w:r>
      <w:r w:rsidR="007774A9" w:rsidRPr="00D57D3F">
        <w:rPr>
          <w:b/>
          <w:sz w:val="26"/>
          <w:szCs w:val="26"/>
          <w:u w:val="single"/>
        </w:rPr>
        <w:t xml:space="preserve"> </w:t>
      </w:r>
      <w:r w:rsidRPr="00D57D3F">
        <w:rPr>
          <w:b/>
          <w:sz w:val="26"/>
          <w:szCs w:val="26"/>
          <w:u w:val="single"/>
        </w:rPr>
        <w:t>odpadového hospodářství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Zákon č. 45/2019 Sb., kterým se mění některé zákony v souvislosti s přijetím nařízení Evropského parlamentu a Rady o rtuti (novela zákona o odpadech)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Vyhláška č. 200/2019 Sb., kterou se mění vyhl</w:t>
      </w:r>
      <w:r w:rsidRPr="00D57D3F">
        <w:t>áška č. 383/2001 Sb., o podrobnostech nakládání s odpady, ve znění pozdějších předpisů, a vyhláška č. 294/2005 Sb., o podmínkách ukládání odpadů na skládky a jejich využívání na povrchu terénu a změně vyhlášky č. 383/2001 Sb., o podrobnostech nakládání s o</w:t>
      </w:r>
      <w:r w:rsidRPr="00D57D3F">
        <w:t>dpady, ve znění pozdějších předpisů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Vyhláška č. 199/2019 Sb., kterou se mění vyhláška č. 94/2016 Sb., o hodnocení nebezpečných vlastností odpadů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Zákon č. 541/2020 Sb., o odpadech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Zákon č. 542/2020 Sb., o výrobcích s ukončenou životností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Zákon č. 543/2020 S</w:t>
      </w:r>
      <w:r w:rsidRPr="00D57D3F">
        <w:t>b., kterým se mění některé zákony v souvislosti s přijetím zákona o odpadech a zákona o výrobcích s ukončenou životností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Novela zákona č. 477/2001 Sb., o obalech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Novela zákona č. 565/1990 Sb., o místních poplatcích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 xml:space="preserve">Návrh zákona o omezení dopadu vybraných </w:t>
      </w:r>
      <w:r w:rsidRPr="00D57D3F">
        <w:t>plastových výrobků na životní prostředí</w:t>
      </w:r>
    </w:p>
    <w:p w:rsidR="00153F9B" w:rsidRPr="00D57D3F" w:rsidRDefault="008C12E6" w:rsidP="00ED39EE">
      <w:pPr>
        <w:numPr>
          <w:ilvl w:val="0"/>
          <w:numId w:val="41"/>
        </w:numPr>
        <w:spacing w:line="276" w:lineRule="auto"/>
        <w:ind w:left="357" w:hanging="357"/>
      </w:pPr>
      <w:r w:rsidRPr="00D57D3F">
        <w:t>Návrh zákona, kterým se mění některé zákony v souvislosti s přijetím zákona o omezení dopadu vybraných plastových výrobků na životní prostředí</w:t>
      </w:r>
    </w:p>
    <w:p w:rsidR="00153F9B" w:rsidRPr="00D57D3F" w:rsidRDefault="008C12E6" w:rsidP="00ED39EE">
      <w:pPr>
        <w:numPr>
          <w:ilvl w:val="0"/>
          <w:numId w:val="41"/>
        </w:numPr>
        <w:spacing w:after="120" w:line="276" w:lineRule="auto"/>
        <w:ind w:left="357" w:hanging="357"/>
      </w:pPr>
      <w:r w:rsidRPr="00D57D3F">
        <w:lastRenderedPageBreak/>
        <w:t xml:space="preserve">V roce 2020 také probíhala příprava prováděcích předpisů k novému zákonu </w:t>
      </w:r>
      <w:r w:rsidRPr="00D57D3F">
        <w:t>o odpadech, zákonu o výrobcích s ukončenou životností a novele zákona o obalech</w:t>
      </w:r>
    </w:p>
    <w:p w:rsidR="00153F9B" w:rsidRPr="00D57D3F" w:rsidRDefault="008C12E6" w:rsidP="00153F9B">
      <w:pPr>
        <w:spacing w:after="60" w:line="276" w:lineRule="auto"/>
      </w:pPr>
      <w:r w:rsidRPr="00D57D3F">
        <w:t>V roce 2019 MŽP připravilo nový zákon o omezení dopadu vybraných plastových výrobků na životní prostředí a o změně některých zákonů, který transponuje požadavky směrnice Evrops</w:t>
      </w:r>
      <w:r w:rsidRPr="00D57D3F">
        <w:t>kého parlamentu a Rady (EU) 2019/904 o omezení dopadu některých plastových výrobků na životní prostředí. Návrh zákona byl</w:t>
      </w:r>
      <w:r w:rsidR="000D0EC4">
        <w:t xml:space="preserve"> předložen </w:t>
      </w:r>
      <w:r w:rsidRPr="00D57D3F">
        <w:t>v listopadu 2020 ke schválení vládě ČR</w:t>
      </w:r>
      <w:r w:rsidR="007774A9">
        <w:t xml:space="preserve"> a následně do Poslanecké sněmovny</w:t>
      </w:r>
      <w:r w:rsidRPr="00D57D3F">
        <w:t xml:space="preserve">. </w:t>
      </w:r>
    </w:p>
    <w:p w:rsidR="00153F9B" w:rsidRPr="00D57D3F" w:rsidRDefault="00153F9B" w:rsidP="00153F9B">
      <w:pPr>
        <w:spacing w:after="60" w:line="276" w:lineRule="auto"/>
      </w:pPr>
    </w:p>
    <w:p w:rsidR="001D1FEF" w:rsidRPr="00D57D3F" w:rsidRDefault="008C12E6" w:rsidP="00F33BD2">
      <w:pPr>
        <w:spacing w:after="120" w:line="276" w:lineRule="auto"/>
        <w:rPr>
          <w:b/>
          <w:sz w:val="26"/>
          <w:szCs w:val="26"/>
          <w:u w:val="single"/>
        </w:rPr>
      </w:pPr>
      <w:r w:rsidRPr="00D57D3F">
        <w:rPr>
          <w:b/>
          <w:sz w:val="26"/>
          <w:szCs w:val="26"/>
          <w:u w:val="single"/>
        </w:rPr>
        <w:t>Strategie k podpoře oběhového hospodářství – St</w:t>
      </w:r>
      <w:r w:rsidR="00153F9B" w:rsidRPr="00D57D3F">
        <w:rPr>
          <w:b/>
          <w:sz w:val="26"/>
          <w:szCs w:val="26"/>
          <w:u w:val="single"/>
        </w:rPr>
        <w:t>ra</w:t>
      </w:r>
      <w:r w:rsidRPr="00D57D3F">
        <w:rPr>
          <w:b/>
          <w:sz w:val="26"/>
          <w:szCs w:val="26"/>
          <w:u w:val="single"/>
        </w:rPr>
        <w:t>tegický rámec</w:t>
      </w:r>
      <w:r w:rsidR="00F33BD2" w:rsidRPr="00D57D3F">
        <w:rPr>
          <w:b/>
          <w:sz w:val="26"/>
          <w:szCs w:val="26"/>
          <w:u w:val="single"/>
        </w:rPr>
        <w:t xml:space="preserve"> oběhového hospodářství v ČR „</w:t>
      </w:r>
      <w:r w:rsidR="00F33BD2" w:rsidRPr="00D57D3F">
        <w:rPr>
          <w:b/>
          <w:i/>
          <w:sz w:val="26"/>
          <w:szCs w:val="26"/>
          <w:u w:val="single"/>
        </w:rPr>
        <w:t>Cirkulární Česko 2040“</w:t>
      </w:r>
      <w:r w:rsidRPr="00D57D3F">
        <w:rPr>
          <w:b/>
          <w:sz w:val="26"/>
          <w:szCs w:val="26"/>
          <w:u w:val="single"/>
        </w:rPr>
        <w:t xml:space="preserve"> </w:t>
      </w:r>
    </w:p>
    <w:p w:rsidR="00153F9B" w:rsidRPr="00D57D3F" w:rsidRDefault="008C12E6" w:rsidP="00153F9B">
      <w:pPr>
        <w:spacing w:line="276" w:lineRule="auto"/>
      </w:pPr>
      <w:r w:rsidRPr="00D57D3F">
        <w:t>Příprava strategického rámce Cirkulární Česko 2040 byla zahájena na konci roku 2018.</w:t>
      </w:r>
      <w:r w:rsidR="00A40BE6" w:rsidRPr="00D57D3F">
        <w:t xml:space="preserve"> </w:t>
      </w:r>
      <w:r w:rsidRPr="00D57D3F">
        <w:t>V</w:t>
      </w:r>
      <w:r w:rsidR="00A40BE6" w:rsidRPr="00D57D3F">
        <w:t> </w:t>
      </w:r>
      <w:r w:rsidRPr="00D57D3F">
        <w:t>lednu</w:t>
      </w:r>
      <w:r w:rsidR="00A40BE6" w:rsidRPr="00D57D3F">
        <w:t> </w:t>
      </w:r>
      <w:r w:rsidRPr="00D57D3F">
        <w:t>2019 byla usta</w:t>
      </w:r>
      <w:r w:rsidR="00A40BE6" w:rsidRPr="00D57D3F">
        <w:t>no</w:t>
      </w:r>
      <w:r w:rsidRPr="00D57D3F">
        <w:t xml:space="preserve">vena pracovní skupina pro přípravu strategického rámce složená ze zástupců státní správy, průmyslových svazů a asociací, vysokých škol a nestátních neziskových organizací. První jednání pracovní skupiny se uskutečnilo v březnu 2019. </w:t>
      </w:r>
    </w:p>
    <w:p w:rsidR="00153F9B" w:rsidRPr="00D57D3F" w:rsidRDefault="008C12E6" w:rsidP="00153F9B">
      <w:pPr>
        <w:spacing w:line="276" w:lineRule="auto"/>
      </w:pPr>
      <w:r w:rsidRPr="00D57D3F">
        <w:t>V říjnu 2019 byl zaháj</w:t>
      </w:r>
      <w:r w:rsidRPr="00D57D3F">
        <w:t>en projekt k přípravě strategie oběhového hospodářství ČR financovaný z unijního Programu na podporu strukturálních reforem (SRSP)</w:t>
      </w:r>
      <w:r w:rsidR="004963FB">
        <w:t>,</w:t>
      </w:r>
      <w:r w:rsidRPr="00D57D3F">
        <w:t xml:space="preserve"> v </w:t>
      </w:r>
      <w:r w:rsidR="004963FB" w:rsidRPr="00D57D3F">
        <w:t>rámci,</w:t>
      </w:r>
      <w:r w:rsidRPr="00D57D3F">
        <w:t xml:space="preserve"> kterého byla do přípravy strategického rámce zapojena také Organizace pro ekonomickou spolupráci a rozvoj (OECD). V</w:t>
      </w:r>
      <w:r w:rsidRPr="00D57D3F">
        <w:t> návaznosti na to se 11. října 2019 uskutečnilo jednání s OECD a členy pracovní skupiny a dalších zainteresovaných subjektů k přípravě strategického rámce. Další jednání s OECD se uskutečnilo v březnu 2020.</w:t>
      </w:r>
    </w:p>
    <w:p w:rsidR="00153F9B" w:rsidRPr="00D57D3F" w:rsidRDefault="008C12E6" w:rsidP="00153F9B">
      <w:pPr>
        <w:spacing w:line="276" w:lineRule="auto"/>
      </w:pPr>
      <w:r w:rsidRPr="00D57D3F">
        <w:t>Během roku 2020 OECD vypracovala dvě zprávy, kter</w:t>
      </w:r>
      <w:r w:rsidRPr="00D57D3F">
        <w:t xml:space="preserve">é sloužily jako podklad pro vypracování samotného strategického </w:t>
      </w:r>
      <w:proofErr w:type="gramStart"/>
      <w:r w:rsidRPr="00D57D3F">
        <w:t>rámce - Analýza</w:t>
      </w:r>
      <w:proofErr w:type="gramEnd"/>
      <w:r w:rsidRPr="00D57D3F">
        <w:t xml:space="preserve"> prioritních oblastí a identifikace klíčových politických opatření pro nový národní strategický rámec oběhového hospodářství „Cirkulární Česko 2040“ (říjen 2020) a Zpráva obsahu</w:t>
      </w:r>
      <w:r w:rsidRPr="00D57D3F">
        <w:t>jící prvky vnitrostátního strategického rámce oběhového hospodářství České republiky (prosinec 2020). Zároveň byla v průběhu roku 2020 zpracována analytická část dokumentu.</w:t>
      </w:r>
    </w:p>
    <w:p w:rsidR="00153F9B" w:rsidRPr="00D57D3F" w:rsidRDefault="008C12E6" w:rsidP="00153F9B">
      <w:pPr>
        <w:spacing w:line="276" w:lineRule="auto"/>
      </w:pPr>
      <w:r w:rsidRPr="00D57D3F">
        <w:t>Dokument analyzuje stávající situaci, definuje priority České republiky v oblasti o</w:t>
      </w:r>
      <w:r w:rsidRPr="00D57D3F">
        <w:t>běhového hospodářství, formuluje jednotlivé cíle v rámci těchto priorit a určuje, jakými opatřeními a</w:t>
      </w:r>
      <w:r w:rsidR="005C448A" w:rsidRPr="00D57D3F">
        <w:t> </w:t>
      </w:r>
      <w:r w:rsidRPr="00D57D3F">
        <w:t>nástroji jich ČR má dosáhnout. Přijetí dokumentu se očekává koncem roku 2021.</w:t>
      </w:r>
    </w:p>
    <w:p w:rsidR="00153F9B" w:rsidRPr="00D57D3F" w:rsidRDefault="008C12E6" w:rsidP="00BD3DB4">
      <w:pPr>
        <w:spacing w:after="120" w:line="276" w:lineRule="auto"/>
      </w:pPr>
      <w:r w:rsidRPr="00D57D3F">
        <w:t>Opatření vedoucí k podpoře vyšších úrovní hierarchie nakládání s odpady a ob</w:t>
      </w:r>
      <w:r w:rsidRPr="00D57D3F">
        <w:t>ěhovému hospodářství jsou</w:t>
      </w:r>
      <w:r w:rsidR="00C20896">
        <w:t>,</w:t>
      </w:r>
      <w:r w:rsidRPr="00D57D3F">
        <w:t xml:space="preserve"> a i nadále budou financovány z prostředků strukturálních fondů.</w:t>
      </w:r>
    </w:p>
    <w:p w:rsidR="00883EE0" w:rsidRPr="00D57D3F" w:rsidRDefault="008C12E6" w:rsidP="00BD3DB4">
      <w:pPr>
        <w:spacing w:after="120" w:line="276" w:lineRule="auto"/>
        <w:rPr>
          <w:szCs w:val="24"/>
        </w:rPr>
      </w:pPr>
      <w:r w:rsidRPr="00D57D3F">
        <w:rPr>
          <w:szCs w:val="24"/>
        </w:rPr>
        <w:t>Celým dokumentem Cirkulární Česko 2040 se prolíná potřeba posílení předcházení vzniku odpadů, jelikož se jedná o nejvyšší stupeň hierarchie nakládání s odpady a je t</w:t>
      </w:r>
      <w:r w:rsidRPr="00D57D3F">
        <w:rPr>
          <w:szCs w:val="24"/>
        </w:rPr>
        <w:t>ak nedílnou součástí oběhového hospodářství. Předcházet vzniku odpadu a zásadně ovlivnit oběhové hospodářství mohou zákazníci, ale také sektor odpadového hospodářství se musí zaměřit na předcházení vzniku odpadů a zvyšování recyklace. Předcházení vzniku od</w:t>
      </w:r>
      <w:r w:rsidRPr="00D57D3F">
        <w:rPr>
          <w:szCs w:val="24"/>
        </w:rPr>
        <w:t xml:space="preserve">padu se tak ve strategickém rámci Cirkulární Česko 2040 nejvíce věnují prioritní oblasti produkty a design, </w:t>
      </w:r>
      <w:proofErr w:type="spellStart"/>
      <w:r w:rsidRPr="00D57D3F">
        <w:rPr>
          <w:szCs w:val="24"/>
        </w:rPr>
        <w:t>bioekonomika</w:t>
      </w:r>
      <w:proofErr w:type="spellEnd"/>
      <w:r w:rsidRPr="00D57D3F">
        <w:rPr>
          <w:szCs w:val="24"/>
        </w:rPr>
        <w:t xml:space="preserve"> a potraviny, spotřeba a spotřebitelé, odpadové hospodářství a vzdělávání </w:t>
      </w:r>
      <w:r w:rsidRPr="00D57D3F">
        <w:rPr>
          <w:szCs w:val="24"/>
        </w:rPr>
        <w:lastRenderedPageBreak/>
        <w:t>a znalosti, v </w:t>
      </w:r>
      <w:proofErr w:type="gramStart"/>
      <w:r w:rsidRPr="00D57D3F">
        <w:rPr>
          <w:szCs w:val="24"/>
        </w:rPr>
        <w:t>rámci</w:t>
      </w:r>
      <w:proofErr w:type="gramEnd"/>
      <w:r w:rsidRPr="00D57D3F">
        <w:rPr>
          <w:szCs w:val="24"/>
        </w:rPr>
        <w:t xml:space="preserve"> kterých jsou navrženy zásady a opatření k </w:t>
      </w:r>
      <w:r w:rsidRPr="00D57D3F">
        <w:rPr>
          <w:szCs w:val="24"/>
        </w:rPr>
        <w:t>podpoře předcházení vzniku odpadů, jako je například podpora předcházení vzniku odpadů v rámci spotřeby výrobků nebo podpora informovanost obyvatel o předcházení vzniku odpadu a o správném nakládání s odpady.</w:t>
      </w:r>
    </w:p>
    <w:p w:rsidR="00883EE0" w:rsidRPr="00D57D3F" w:rsidRDefault="008C12E6" w:rsidP="00BD3DB4">
      <w:pPr>
        <w:spacing w:line="276" w:lineRule="auto"/>
        <w:rPr>
          <w:szCs w:val="24"/>
        </w:rPr>
      </w:pPr>
      <w:r w:rsidRPr="00D57D3F">
        <w:rPr>
          <w:szCs w:val="24"/>
        </w:rPr>
        <w:t>Koncept cirkulární ekonomiky se také postupně r</w:t>
      </w:r>
      <w:r w:rsidRPr="00D57D3F">
        <w:rPr>
          <w:szCs w:val="24"/>
        </w:rPr>
        <w:t xml:space="preserve">ozvíjí v jednotlivých krajích. Nejdále je v tomto ohledu prozatím </w:t>
      </w:r>
      <w:r w:rsidRPr="00D57D3F">
        <w:rPr>
          <w:b/>
          <w:szCs w:val="24"/>
        </w:rPr>
        <w:t>hlavní město Praha</w:t>
      </w:r>
      <w:r w:rsidRPr="00D57D3F">
        <w:rPr>
          <w:szCs w:val="24"/>
        </w:rPr>
        <w:t xml:space="preserve">, které v roce 2019 dokončilo cirkulární </w:t>
      </w:r>
      <w:proofErr w:type="spellStart"/>
      <w:r w:rsidRPr="00D57D3F">
        <w:rPr>
          <w:szCs w:val="24"/>
        </w:rPr>
        <w:t>sken</w:t>
      </w:r>
      <w:proofErr w:type="spellEnd"/>
      <w:r w:rsidRPr="00D57D3F">
        <w:rPr>
          <w:szCs w:val="24"/>
        </w:rPr>
        <w:t xml:space="preserve">. </w:t>
      </w:r>
    </w:p>
    <w:p w:rsidR="00883EE0" w:rsidRPr="00D57D3F" w:rsidRDefault="008C12E6" w:rsidP="00BD3DB4">
      <w:pPr>
        <w:spacing w:line="276" w:lineRule="auto"/>
        <w:rPr>
          <w:szCs w:val="24"/>
        </w:rPr>
      </w:pPr>
      <w:r w:rsidRPr="00D57D3F">
        <w:rPr>
          <w:b/>
          <w:szCs w:val="24"/>
        </w:rPr>
        <w:t xml:space="preserve">Projekt Cirkulární </w:t>
      </w:r>
      <w:proofErr w:type="spellStart"/>
      <w:r w:rsidRPr="00D57D3F">
        <w:rPr>
          <w:b/>
          <w:szCs w:val="24"/>
        </w:rPr>
        <w:t>sken</w:t>
      </w:r>
      <w:proofErr w:type="spellEnd"/>
      <w:r w:rsidRPr="00D57D3F">
        <w:rPr>
          <w:b/>
          <w:szCs w:val="24"/>
        </w:rPr>
        <w:t xml:space="preserve"> Praha</w:t>
      </w:r>
      <w:r w:rsidRPr="00D57D3F">
        <w:rPr>
          <w:szCs w:val="24"/>
        </w:rPr>
        <w:t xml:space="preserve"> měl za úkol podrobně zanalyzovat materiálové toky hlavního města a najít řešení, která posílí </w:t>
      </w:r>
      <w:r w:rsidRPr="00D57D3F">
        <w:rPr>
          <w:szCs w:val="24"/>
        </w:rPr>
        <w:t xml:space="preserve">soběstačnost města a zároveň naplní vizi přechodu města na cirkulární ekonomiku. Cirkulární </w:t>
      </w:r>
      <w:proofErr w:type="spellStart"/>
      <w:r w:rsidRPr="00D57D3F">
        <w:rPr>
          <w:szCs w:val="24"/>
        </w:rPr>
        <w:t>sken</w:t>
      </w:r>
      <w:proofErr w:type="spellEnd"/>
      <w:r w:rsidRPr="00D57D3F">
        <w:rPr>
          <w:szCs w:val="24"/>
        </w:rPr>
        <w:t xml:space="preserve"> byl součástí projektu “ODPAD ZDROJEM”, jehož realizátorem je BIC Brno ve spolupráci s Institutem Cirkulární Ekonomiky a byl spolufinancován se státní podporou </w:t>
      </w:r>
      <w:r w:rsidRPr="00D57D3F">
        <w:rPr>
          <w:szCs w:val="24"/>
        </w:rPr>
        <w:t xml:space="preserve">Technologické agentury ČR v rámci Programu ÉTA. Cirkulární </w:t>
      </w:r>
      <w:proofErr w:type="spellStart"/>
      <w:r w:rsidRPr="00D57D3F">
        <w:rPr>
          <w:szCs w:val="24"/>
        </w:rPr>
        <w:t>sken</w:t>
      </w:r>
      <w:proofErr w:type="spellEnd"/>
      <w:r w:rsidRPr="00D57D3F">
        <w:rPr>
          <w:szCs w:val="24"/>
        </w:rPr>
        <w:t xml:space="preserve"> nejdříve identifikoval důležité oblasti Prahy z hlediska ekonomických a environmentálních dopadů. Následně byla provedena analýza materiálových toků ve vybraných sektorech a bylo navrženo více</w:t>
      </w:r>
      <w:r w:rsidRPr="00D57D3F">
        <w:rPr>
          <w:szCs w:val="24"/>
        </w:rPr>
        <w:t xml:space="preserve"> než 20 „cirkulárních strategií“, z níž byly vybrány tři nejzajímavější pilotní projekty. Ty</w:t>
      </w:r>
      <w:r w:rsidR="005C448A" w:rsidRPr="00D57D3F">
        <w:rPr>
          <w:szCs w:val="24"/>
        </w:rPr>
        <w:t>to </w:t>
      </w:r>
      <w:r w:rsidRPr="00D57D3F">
        <w:rPr>
          <w:szCs w:val="24"/>
        </w:rPr>
        <w:t>hlavní město zahrnulo do svých plánů a začne aktivně pracovat na jejich realizaci.</w:t>
      </w:r>
    </w:p>
    <w:p w:rsidR="00883EE0" w:rsidRPr="00D57D3F" w:rsidRDefault="008C12E6" w:rsidP="00BD3DB4">
      <w:pPr>
        <w:spacing w:line="276" w:lineRule="auto"/>
        <w:rPr>
          <w:szCs w:val="24"/>
        </w:rPr>
      </w:pPr>
      <w:r w:rsidRPr="00D57D3F">
        <w:rPr>
          <w:b/>
          <w:szCs w:val="24"/>
        </w:rPr>
        <w:t>Jihomoravský kraj</w:t>
      </w:r>
      <w:r w:rsidRPr="00D57D3F">
        <w:rPr>
          <w:szCs w:val="24"/>
        </w:rPr>
        <w:t xml:space="preserve"> pak například provozuje </w:t>
      </w:r>
      <w:r w:rsidRPr="00D57D3F">
        <w:rPr>
          <w:b/>
          <w:szCs w:val="24"/>
        </w:rPr>
        <w:t>webový portál oběhového hospodářství</w:t>
      </w:r>
      <w:r w:rsidRPr="00D57D3F">
        <w:rPr>
          <w:b/>
          <w:szCs w:val="24"/>
        </w:rPr>
        <w:t xml:space="preserve"> jihomoravského kraje (</w:t>
      </w:r>
      <w:hyperlink r:id="rId18" w:history="1">
        <w:r w:rsidRPr="00D57D3F">
          <w:rPr>
            <w:rStyle w:val="Hypertextovodkaz"/>
            <w:szCs w:val="24"/>
          </w:rPr>
          <w:t>http://obhjmk.cz/#</w:t>
        </w:r>
      </w:hyperlink>
      <w:r w:rsidRPr="00D57D3F">
        <w:rPr>
          <w:b/>
          <w:szCs w:val="24"/>
        </w:rPr>
        <w:t>)</w:t>
      </w:r>
      <w:r w:rsidRPr="00D57D3F">
        <w:rPr>
          <w:szCs w:val="24"/>
        </w:rPr>
        <w:t>. Webový portál je výstupem projektu “Analýza potenciálu Jihomoravského kraje ve vztahu k oběhovému hospodářství “ (č. TL0100305), který spravuje Ekonomicko-správní fakulta Masaryk</w:t>
      </w:r>
      <w:r w:rsidRPr="00D57D3F">
        <w:rPr>
          <w:szCs w:val="24"/>
        </w:rPr>
        <w:t>ovy univerzity. Projekt byl zahájen 1. 3. 2018 a</w:t>
      </w:r>
      <w:r w:rsidR="005C448A" w:rsidRPr="00D57D3F">
        <w:rPr>
          <w:szCs w:val="24"/>
        </w:rPr>
        <w:t> </w:t>
      </w:r>
      <w:r w:rsidRPr="00D57D3F">
        <w:rPr>
          <w:szCs w:val="24"/>
        </w:rPr>
        <w:t>ukončen 31. 12. 2020. Jeho aplikačním garantem byl Jihomoravský kraj. V rámci projektu byly například zpracovány studie Analýza potenciálu Jihomoravského kraje ve vztahu k</w:t>
      </w:r>
      <w:r w:rsidR="005C448A" w:rsidRPr="00D57D3F">
        <w:rPr>
          <w:szCs w:val="24"/>
        </w:rPr>
        <w:t> </w:t>
      </w:r>
      <w:r w:rsidRPr="00D57D3F">
        <w:rPr>
          <w:szCs w:val="24"/>
        </w:rPr>
        <w:t>oběhovému hospodářství v závislosti</w:t>
      </w:r>
      <w:r w:rsidRPr="00D57D3F">
        <w:rPr>
          <w:szCs w:val="24"/>
        </w:rPr>
        <w:t xml:space="preserve"> na charakteristikách kraje a Analýza potenciálu oběhového hospodářství a koncepce plánu oběhového hospodářství vybraných měst Jihomoravského kraje</w:t>
      </w:r>
    </w:p>
    <w:p w:rsidR="00883EE0" w:rsidRPr="00D57D3F" w:rsidRDefault="008C12E6" w:rsidP="00BD3DB4">
      <w:pPr>
        <w:spacing w:line="276" w:lineRule="auto"/>
        <w:rPr>
          <w:szCs w:val="24"/>
        </w:rPr>
      </w:pPr>
      <w:r w:rsidRPr="00D57D3F">
        <w:rPr>
          <w:szCs w:val="24"/>
        </w:rPr>
        <w:t xml:space="preserve">V </w:t>
      </w:r>
      <w:r w:rsidRPr="00D57D3F">
        <w:rPr>
          <w:b/>
          <w:szCs w:val="24"/>
        </w:rPr>
        <w:t>Pardubickém kraji</w:t>
      </w:r>
      <w:r w:rsidRPr="00D57D3F">
        <w:rPr>
          <w:szCs w:val="24"/>
        </w:rPr>
        <w:t xml:space="preserve"> je aktivní </w:t>
      </w:r>
      <w:r w:rsidRPr="00D57D3F">
        <w:rPr>
          <w:b/>
          <w:szCs w:val="24"/>
        </w:rPr>
        <w:t>Regionální rozvojová agentura Pardubického kraje</w:t>
      </w:r>
      <w:r w:rsidRPr="00D57D3F">
        <w:rPr>
          <w:szCs w:val="24"/>
        </w:rPr>
        <w:t xml:space="preserve">, která je zapojena do </w:t>
      </w:r>
      <w:r w:rsidRPr="00D57D3F">
        <w:rPr>
          <w:b/>
          <w:szCs w:val="24"/>
        </w:rPr>
        <w:t>projek</w:t>
      </w:r>
      <w:r w:rsidRPr="00D57D3F">
        <w:rPr>
          <w:b/>
          <w:szCs w:val="24"/>
        </w:rPr>
        <w:t>tu CONDEREFF</w:t>
      </w:r>
      <w:r w:rsidRPr="00D57D3F">
        <w:rPr>
          <w:szCs w:val="24"/>
        </w:rPr>
        <w:t xml:space="preserve"> (</w:t>
      </w:r>
      <w:proofErr w:type="spellStart"/>
      <w:r w:rsidRPr="00D57D3F">
        <w:rPr>
          <w:szCs w:val="24"/>
        </w:rPr>
        <w:t>Construction</w:t>
      </w:r>
      <w:proofErr w:type="spellEnd"/>
      <w:r w:rsidRPr="00D57D3F">
        <w:rPr>
          <w:szCs w:val="24"/>
        </w:rPr>
        <w:t xml:space="preserve"> &amp; </w:t>
      </w:r>
      <w:proofErr w:type="spellStart"/>
      <w:r w:rsidRPr="00D57D3F">
        <w:rPr>
          <w:szCs w:val="24"/>
        </w:rPr>
        <w:t>demolition</w:t>
      </w:r>
      <w:proofErr w:type="spellEnd"/>
      <w:r w:rsidRPr="00D57D3F">
        <w:rPr>
          <w:szCs w:val="24"/>
        </w:rPr>
        <w:t xml:space="preserve"> </w:t>
      </w:r>
      <w:proofErr w:type="spellStart"/>
      <w:r w:rsidRPr="00D57D3F">
        <w:rPr>
          <w:szCs w:val="24"/>
        </w:rPr>
        <w:t>waste</w:t>
      </w:r>
      <w:proofErr w:type="spellEnd"/>
      <w:r w:rsidRPr="00D57D3F">
        <w:rPr>
          <w:szCs w:val="24"/>
        </w:rPr>
        <w:t xml:space="preserve"> management </w:t>
      </w:r>
      <w:proofErr w:type="spellStart"/>
      <w:r w:rsidRPr="00D57D3F">
        <w:rPr>
          <w:szCs w:val="24"/>
        </w:rPr>
        <w:t>policies</w:t>
      </w:r>
      <w:proofErr w:type="spellEnd"/>
      <w:r w:rsidRPr="00D57D3F">
        <w:rPr>
          <w:szCs w:val="24"/>
        </w:rPr>
        <w:t xml:space="preserve"> </w:t>
      </w:r>
      <w:proofErr w:type="spellStart"/>
      <w:r w:rsidRPr="00D57D3F">
        <w:rPr>
          <w:szCs w:val="24"/>
        </w:rPr>
        <w:t>for</w:t>
      </w:r>
      <w:proofErr w:type="spellEnd"/>
      <w:r w:rsidRPr="00D57D3F">
        <w:rPr>
          <w:szCs w:val="24"/>
        </w:rPr>
        <w:t xml:space="preserve"> </w:t>
      </w:r>
      <w:proofErr w:type="spellStart"/>
      <w:r w:rsidRPr="00D57D3F">
        <w:rPr>
          <w:szCs w:val="24"/>
        </w:rPr>
        <w:t>improved</w:t>
      </w:r>
      <w:proofErr w:type="spellEnd"/>
      <w:r w:rsidRPr="00D57D3F">
        <w:rPr>
          <w:szCs w:val="24"/>
        </w:rPr>
        <w:t xml:space="preserve"> </w:t>
      </w:r>
      <w:proofErr w:type="spellStart"/>
      <w:r w:rsidRPr="00D57D3F">
        <w:rPr>
          <w:szCs w:val="24"/>
        </w:rPr>
        <w:t>resource</w:t>
      </w:r>
      <w:proofErr w:type="spellEnd"/>
      <w:r w:rsidRPr="00D57D3F">
        <w:rPr>
          <w:szCs w:val="24"/>
        </w:rPr>
        <w:t xml:space="preserve"> </w:t>
      </w:r>
      <w:proofErr w:type="spellStart"/>
      <w:r w:rsidRPr="00D57D3F">
        <w:rPr>
          <w:szCs w:val="24"/>
        </w:rPr>
        <w:t>efficiency</w:t>
      </w:r>
      <w:proofErr w:type="spellEnd"/>
      <w:r w:rsidRPr="00D57D3F">
        <w:rPr>
          <w:szCs w:val="24"/>
        </w:rPr>
        <w:t xml:space="preserve">). Projekt je spolufinancovaný z prostředků Evropské unie v rámci Programu </w:t>
      </w:r>
      <w:proofErr w:type="spellStart"/>
      <w:r w:rsidRPr="00D57D3F">
        <w:rPr>
          <w:szCs w:val="24"/>
        </w:rPr>
        <w:t>Interreg</w:t>
      </w:r>
      <w:proofErr w:type="spellEnd"/>
      <w:r w:rsidRPr="00D57D3F">
        <w:rPr>
          <w:szCs w:val="24"/>
        </w:rPr>
        <w:t xml:space="preserve"> </w:t>
      </w:r>
      <w:proofErr w:type="spellStart"/>
      <w:r w:rsidRPr="00D57D3F">
        <w:rPr>
          <w:szCs w:val="24"/>
        </w:rPr>
        <w:t>Europe</w:t>
      </w:r>
      <w:proofErr w:type="spellEnd"/>
      <w:r w:rsidRPr="00D57D3F">
        <w:rPr>
          <w:szCs w:val="24"/>
        </w:rPr>
        <w:t xml:space="preserve"> a je zaměřen na stávající praxi nakládání se stavebními a</w:t>
      </w:r>
      <w:r w:rsidR="005C448A" w:rsidRPr="00D57D3F">
        <w:rPr>
          <w:szCs w:val="24"/>
        </w:rPr>
        <w:t> </w:t>
      </w:r>
      <w:r w:rsidRPr="00D57D3F">
        <w:rPr>
          <w:szCs w:val="24"/>
        </w:rPr>
        <w:t>demoliční</w:t>
      </w:r>
      <w:r w:rsidRPr="00D57D3F">
        <w:rPr>
          <w:szCs w:val="24"/>
        </w:rPr>
        <w:t>mi odpady, jejich skladování a další možné využití. Projekt umožní zlepšit využitelnost stavebního a demoličního odpadu a podpoří poptávku po takovém druhu odpadu jako znovu využitelném stavebním materiálu a podpoří tak rozvoj oběhového hospodářství v Pard</w:t>
      </w:r>
      <w:r w:rsidRPr="00D57D3F">
        <w:rPr>
          <w:szCs w:val="24"/>
        </w:rPr>
        <w:t xml:space="preserve">ubickém kraji. Na téma cirkulární ekonomiky pak Regionální rozvojová agentura Pardubického kraje řada uspořádala například </w:t>
      </w:r>
      <w:proofErr w:type="spellStart"/>
      <w:r w:rsidRPr="00D57D3F">
        <w:rPr>
          <w:b/>
          <w:szCs w:val="24"/>
        </w:rPr>
        <w:t>webinář</w:t>
      </w:r>
      <w:proofErr w:type="spellEnd"/>
      <w:r w:rsidRPr="00D57D3F">
        <w:rPr>
          <w:b/>
          <w:szCs w:val="24"/>
        </w:rPr>
        <w:t xml:space="preserve"> Cirkulární ekonomika pro firmy</w:t>
      </w:r>
      <w:r w:rsidRPr="00D57D3F">
        <w:rPr>
          <w:szCs w:val="24"/>
        </w:rPr>
        <w:t>.</w:t>
      </w:r>
    </w:p>
    <w:p w:rsidR="00883EE0" w:rsidRPr="00D57D3F" w:rsidRDefault="008C12E6" w:rsidP="00BD3DB4">
      <w:pPr>
        <w:spacing w:line="276" w:lineRule="auto"/>
        <w:rPr>
          <w:szCs w:val="24"/>
        </w:rPr>
      </w:pPr>
      <w:r w:rsidRPr="00D57D3F">
        <w:rPr>
          <w:szCs w:val="24"/>
        </w:rPr>
        <w:t xml:space="preserve">V </w:t>
      </w:r>
      <w:r w:rsidRPr="00D57D3F">
        <w:rPr>
          <w:b/>
          <w:szCs w:val="24"/>
        </w:rPr>
        <w:t>kraji Vysočina</w:t>
      </w:r>
      <w:r w:rsidRPr="00D57D3F">
        <w:rPr>
          <w:szCs w:val="24"/>
        </w:rPr>
        <w:t xml:space="preserve"> byl na počátku roku 2020 zahájen </w:t>
      </w:r>
      <w:r w:rsidRPr="00D57D3F">
        <w:rPr>
          <w:b/>
          <w:szCs w:val="24"/>
        </w:rPr>
        <w:t>projekt „</w:t>
      </w:r>
      <w:proofErr w:type="spellStart"/>
      <w:r w:rsidRPr="00D57D3F">
        <w:rPr>
          <w:b/>
          <w:szCs w:val="24"/>
        </w:rPr>
        <w:t>Circular</w:t>
      </w:r>
      <w:proofErr w:type="spellEnd"/>
      <w:r w:rsidRPr="00D57D3F">
        <w:rPr>
          <w:b/>
          <w:szCs w:val="24"/>
        </w:rPr>
        <w:t xml:space="preserve"> </w:t>
      </w:r>
      <w:proofErr w:type="spellStart"/>
      <w:r w:rsidRPr="00D57D3F">
        <w:rPr>
          <w:b/>
          <w:szCs w:val="24"/>
        </w:rPr>
        <w:t>economy</w:t>
      </w:r>
      <w:proofErr w:type="spellEnd"/>
      <w:r w:rsidRPr="00D57D3F">
        <w:rPr>
          <w:b/>
          <w:szCs w:val="24"/>
        </w:rPr>
        <w:t xml:space="preserve"> </w:t>
      </w:r>
      <w:proofErr w:type="spellStart"/>
      <w:r w:rsidRPr="00D57D3F">
        <w:rPr>
          <w:b/>
          <w:szCs w:val="24"/>
        </w:rPr>
        <w:t>of</w:t>
      </w:r>
      <w:proofErr w:type="spellEnd"/>
      <w:r w:rsidRPr="00D57D3F">
        <w:rPr>
          <w:b/>
          <w:szCs w:val="24"/>
        </w:rPr>
        <w:t xml:space="preserve"> </w:t>
      </w:r>
      <w:proofErr w:type="spellStart"/>
      <w:r w:rsidRPr="00D57D3F">
        <w:rPr>
          <w:b/>
          <w:szCs w:val="24"/>
        </w:rPr>
        <w:t>waste</w:t>
      </w:r>
      <w:proofErr w:type="spellEnd"/>
      <w:r w:rsidRPr="00D57D3F">
        <w:rPr>
          <w:b/>
          <w:szCs w:val="24"/>
        </w:rPr>
        <w:t>“ (CEWA)</w:t>
      </w:r>
      <w:r w:rsidRPr="00D57D3F">
        <w:rPr>
          <w:szCs w:val="24"/>
        </w:rPr>
        <w:t xml:space="preserve"> </w:t>
      </w:r>
      <w:r w:rsidRPr="00D57D3F">
        <w:rPr>
          <w:szCs w:val="24"/>
        </w:rPr>
        <w:t xml:space="preserve">v rámci Programu </w:t>
      </w:r>
      <w:proofErr w:type="spellStart"/>
      <w:r w:rsidRPr="00D57D3F">
        <w:rPr>
          <w:szCs w:val="24"/>
        </w:rPr>
        <w:t>Interreg</w:t>
      </w:r>
      <w:proofErr w:type="spellEnd"/>
      <w:r w:rsidRPr="00D57D3F">
        <w:rPr>
          <w:szCs w:val="24"/>
        </w:rPr>
        <w:t xml:space="preserve"> </w:t>
      </w:r>
      <w:proofErr w:type="spellStart"/>
      <w:r w:rsidRPr="00D57D3F">
        <w:rPr>
          <w:szCs w:val="24"/>
        </w:rPr>
        <w:t>Europe</w:t>
      </w:r>
      <w:proofErr w:type="spellEnd"/>
      <w:r w:rsidRPr="00D57D3F">
        <w:rPr>
          <w:szCs w:val="24"/>
        </w:rPr>
        <w:t>. Vedoucím partnerem projektu je Energetická agentura Vysočiny a strategickými partnery jsou Jihomoravský kraj, Kraj Vysočina a Úřad spolkové vlády Horního Rakouska. Hlavním cílem projektu CEWA je inovativní přístup v</w:t>
      </w:r>
      <w:r w:rsidR="005C448A" w:rsidRPr="00D57D3F">
        <w:rPr>
          <w:szCs w:val="24"/>
        </w:rPr>
        <w:t> </w:t>
      </w:r>
      <w:r w:rsidRPr="00D57D3F">
        <w:rPr>
          <w:szCs w:val="24"/>
        </w:rPr>
        <w:t xml:space="preserve">systému nakládání s odpady s důrazem na aplikovatelnost v příhraničních českých </w:t>
      </w:r>
      <w:r w:rsidRPr="00D57D3F">
        <w:rPr>
          <w:szCs w:val="24"/>
        </w:rPr>
        <w:lastRenderedPageBreak/>
        <w:t>i</w:t>
      </w:r>
      <w:r w:rsidR="005C448A" w:rsidRPr="00D57D3F">
        <w:rPr>
          <w:szCs w:val="24"/>
        </w:rPr>
        <w:t> </w:t>
      </w:r>
      <w:r w:rsidRPr="00D57D3F">
        <w:rPr>
          <w:szCs w:val="24"/>
        </w:rPr>
        <w:t>rakouských regionech. Tento přístup spočívá v nalezení optimálních postupů pro minimalizaci množství odpadů a pro maximalizaci využití odpadů na základě principů cirkulární e</w:t>
      </w:r>
      <w:r w:rsidRPr="00D57D3F">
        <w:rPr>
          <w:szCs w:val="24"/>
        </w:rPr>
        <w:t xml:space="preserve">konomiky. </w:t>
      </w:r>
    </w:p>
    <w:p w:rsidR="00883EE0" w:rsidRPr="00D57D3F" w:rsidRDefault="008C12E6" w:rsidP="00BD3DB4">
      <w:pPr>
        <w:spacing w:line="276" w:lineRule="auto"/>
        <w:rPr>
          <w:szCs w:val="24"/>
        </w:rPr>
      </w:pPr>
      <w:r w:rsidRPr="00D57D3F">
        <w:rPr>
          <w:szCs w:val="24"/>
        </w:rPr>
        <w:t xml:space="preserve">V </w:t>
      </w:r>
      <w:r w:rsidRPr="00D57D3F">
        <w:rPr>
          <w:b/>
          <w:szCs w:val="24"/>
        </w:rPr>
        <w:t>Moravskoslezském kraji</w:t>
      </w:r>
      <w:r w:rsidRPr="00D57D3F">
        <w:rPr>
          <w:szCs w:val="24"/>
        </w:rPr>
        <w:t xml:space="preserve"> funguje </w:t>
      </w:r>
      <w:r w:rsidRPr="00D57D3F">
        <w:rPr>
          <w:b/>
          <w:szCs w:val="24"/>
        </w:rPr>
        <w:t>Moravskoslezské inovační centrum Ostrava, a.s.</w:t>
      </w:r>
      <w:r w:rsidRPr="00D57D3F">
        <w:rPr>
          <w:szCs w:val="24"/>
        </w:rPr>
        <w:t xml:space="preserve">, které se zabývá mimo jiné také projekty zaměřenými na oběhové hospodářství. </w:t>
      </w:r>
    </w:p>
    <w:p w:rsidR="00883EE0" w:rsidRPr="00D57D3F" w:rsidRDefault="008C12E6" w:rsidP="00BD3DB4">
      <w:pPr>
        <w:spacing w:line="276" w:lineRule="auto"/>
        <w:rPr>
          <w:szCs w:val="24"/>
        </w:rPr>
      </w:pPr>
      <w:r w:rsidRPr="00D57D3F">
        <w:rPr>
          <w:szCs w:val="24"/>
        </w:rPr>
        <w:t xml:space="preserve">Řada dalších krajů se pak v letech 2019 a 2020 zaměřila zejména na </w:t>
      </w:r>
      <w:r w:rsidRPr="00D57D3F">
        <w:rPr>
          <w:b/>
          <w:szCs w:val="24"/>
        </w:rPr>
        <w:t xml:space="preserve">vzdělávání a osvětu </w:t>
      </w:r>
      <w:r w:rsidRPr="00D57D3F">
        <w:rPr>
          <w:b/>
          <w:szCs w:val="24"/>
        </w:rPr>
        <w:t>v oblasti cirkulární ekonomiky</w:t>
      </w:r>
      <w:r w:rsidRPr="00D57D3F">
        <w:rPr>
          <w:szCs w:val="24"/>
        </w:rPr>
        <w:t xml:space="preserve">. Lze zmínit například </w:t>
      </w:r>
      <w:r w:rsidRPr="00D57D3F">
        <w:rPr>
          <w:b/>
          <w:szCs w:val="24"/>
        </w:rPr>
        <w:t>seminář na téma oběhové hospodářství/cirkulární ekonomika a odpadové hospodářství</w:t>
      </w:r>
      <w:r w:rsidRPr="00D57D3F">
        <w:rPr>
          <w:szCs w:val="24"/>
        </w:rPr>
        <w:t>, využití velkých dat, který se konal jako součást cyklu seminářů v oblasti inovativních řešení v únoru 2019 v rámci vzděl</w:t>
      </w:r>
      <w:r w:rsidRPr="00D57D3F">
        <w:rPr>
          <w:szCs w:val="24"/>
        </w:rPr>
        <w:t xml:space="preserve">ávání KS MAS Středočeského kraje. V Jihomoravském kraji funguje </w:t>
      </w:r>
      <w:r w:rsidRPr="00D57D3F">
        <w:rPr>
          <w:b/>
          <w:szCs w:val="24"/>
        </w:rPr>
        <w:t xml:space="preserve">Cirkulární akademie </w:t>
      </w:r>
      <w:proofErr w:type="gramStart"/>
      <w:r w:rsidRPr="00D57D3F">
        <w:rPr>
          <w:b/>
          <w:szCs w:val="24"/>
        </w:rPr>
        <w:t>JIC</w:t>
      </w:r>
      <w:r w:rsidRPr="00D57D3F">
        <w:rPr>
          <w:szCs w:val="24"/>
        </w:rPr>
        <w:t>,</w:t>
      </w:r>
      <w:proofErr w:type="gramEnd"/>
      <w:r w:rsidRPr="00D57D3F">
        <w:rPr>
          <w:szCs w:val="24"/>
        </w:rPr>
        <w:t xml:space="preserve"> neboli vzdělávání firmy JIC Brno na téma cirkulární ekonomiky. V </w:t>
      </w:r>
      <w:r w:rsidRPr="00D57D3F">
        <w:rPr>
          <w:b/>
          <w:szCs w:val="24"/>
        </w:rPr>
        <w:t>Královéhradeckém kraji</w:t>
      </w:r>
      <w:r w:rsidRPr="00D57D3F">
        <w:rPr>
          <w:szCs w:val="24"/>
        </w:rPr>
        <w:t xml:space="preserve"> se v říjnu 2020 uskutečnil </w:t>
      </w:r>
      <w:r w:rsidRPr="00D57D3F">
        <w:rPr>
          <w:b/>
          <w:szCs w:val="24"/>
        </w:rPr>
        <w:t>workshop Cirkulární ekonomika pro města a obce Králo</w:t>
      </w:r>
      <w:r w:rsidRPr="00D57D3F">
        <w:rPr>
          <w:b/>
          <w:szCs w:val="24"/>
        </w:rPr>
        <w:t>véhradecka</w:t>
      </w:r>
      <w:r w:rsidRPr="00D57D3F">
        <w:rPr>
          <w:szCs w:val="24"/>
        </w:rPr>
        <w:t xml:space="preserve">. V Libereckém kraji pak v listopadu 2020 </w:t>
      </w:r>
      <w:r w:rsidRPr="00D57D3F">
        <w:rPr>
          <w:b/>
          <w:szCs w:val="24"/>
        </w:rPr>
        <w:t>konference Cirkulární ekonomika, šance pro Liberecký kraj</w:t>
      </w:r>
      <w:r w:rsidRPr="00D57D3F">
        <w:rPr>
          <w:szCs w:val="24"/>
        </w:rPr>
        <w:t>.</w:t>
      </w:r>
    </w:p>
    <w:p w:rsidR="00883EE0" w:rsidRPr="00D57D3F" w:rsidRDefault="00883EE0" w:rsidP="00BD3DB4">
      <w:pPr>
        <w:spacing w:line="276" w:lineRule="auto"/>
      </w:pPr>
    </w:p>
    <w:p w:rsidR="00F3226B" w:rsidRPr="00D57D3F" w:rsidRDefault="008C12E6" w:rsidP="008D5F6F">
      <w:pPr>
        <w:spacing w:after="60" w:line="276" w:lineRule="auto"/>
        <w:rPr>
          <w:b/>
          <w:bCs/>
          <w:iCs/>
          <w:szCs w:val="24"/>
          <w:u w:val="single"/>
        </w:rPr>
      </w:pPr>
      <w:r w:rsidRPr="00D57D3F">
        <w:rPr>
          <w:b/>
          <w:bCs/>
          <w:sz w:val="26"/>
          <w:szCs w:val="26"/>
          <w:u w:val="single"/>
        </w:rPr>
        <w:t>O</w:t>
      </w:r>
      <w:r w:rsidRPr="00D57D3F">
        <w:rPr>
          <w:b/>
          <w:bCs/>
          <w:iCs/>
          <w:sz w:val="26"/>
          <w:szCs w:val="26"/>
          <w:u w:val="single"/>
        </w:rPr>
        <w:t>mezení odkládání odpadů mimo místa k tomu určená a zajištění správného nakládání s odpady odloženými mimo místa k tomu určená a s odpady, jejic</w:t>
      </w:r>
      <w:r w:rsidRPr="00D57D3F">
        <w:rPr>
          <w:b/>
          <w:bCs/>
          <w:iCs/>
          <w:sz w:val="26"/>
          <w:szCs w:val="26"/>
          <w:u w:val="single"/>
        </w:rPr>
        <w:t>hž vlastník není znám nebo zanikl</w:t>
      </w:r>
    </w:p>
    <w:p w:rsidR="00F3226B" w:rsidRPr="00D57D3F" w:rsidRDefault="008C12E6" w:rsidP="00F12E8F">
      <w:pPr>
        <w:spacing w:after="120" w:line="276" w:lineRule="auto"/>
        <w:rPr>
          <w:szCs w:val="24"/>
        </w:rPr>
      </w:pPr>
      <w:r w:rsidRPr="00D57D3F">
        <w:rPr>
          <w:szCs w:val="24"/>
        </w:rPr>
        <w:t>V</w:t>
      </w:r>
      <w:r w:rsidR="00F27940" w:rsidRPr="00D57D3F">
        <w:rPr>
          <w:szCs w:val="24"/>
        </w:rPr>
        <w:t xml:space="preserve"> novém zákoně o odpadech </w:t>
      </w:r>
      <w:r w:rsidR="00321BA4" w:rsidRPr="00D57D3F">
        <w:rPr>
          <w:szCs w:val="24"/>
        </w:rPr>
        <w:t xml:space="preserve">je </w:t>
      </w:r>
      <w:r w:rsidR="00AC0000" w:rsidRPr="00D57D3F">
        <w:rPr>
          <w:szCs w:val="24"/>
        </w:rPr>
        <w:t xml:space="preserve">zavedena </w:t>
      </w:r>
      <w:r w:rsidRPr="00D57D3F">
        <w:rPr>
          <w:szCs w:val="24"/>
        </w:rPr>
        <w:t>povinnost původce odpadů nebo provozovatele zařízení odstranit odpady shromážděné v provozovně nebo zařízení v</w:t>
      </w:r>
      <w:r w:rsidR="00A95949" w:rsidRPr="00D57D3F">
        <w:rPr>
          <w:szCs w:val="24"/>
        </w:rPr>
        <w:t> </w:t>
      </w:r>
      <w:r w:rsidRPr="00D57D3F">
        <w:rPr>
          <w:szCs w:val="24"/>
        </w:rPr>
        <w:t>případě ukončení provozu provozovny nebo zařízení a dále přenos odpovědno</w:t>
      </w:r>
      <w:r w:rsidRPr="00D57D3F">
        <w:rPr>
          <w:szCs w:val="24"/>
        </w:rPr>
        <w:t xml:space="preserve">sti za tyto odpady na každého dalšího vlastníka provozovny nebo zařízení. </w:t>
      </w:r>
    </w:p>
    <w:p w:rsidR="002A4D48" w:rsidRPr="00D57D3F" w:rsidRDefault="008C12E6" w:rsidP="002552C6">
      <w:pPr>
        <w:spacing w:after="120" w:line="276" w:lineRule="auto"/>
        <w:rPr>
          <w:rFonts w:eastAsia="Calibri" w:cs="Times New Roman"/>
          <w:szCs w:val="24"/>
        </w:rPr>
      </w:pPr>
      <w:r w:rsidRPr="00D57D3F">
        <w:rPr>
          <w:szCs w:val="24"/>
        </w:rPr>
        <w:t>Z</w:t>
      </w:r>
      <w:r w:rsidR="00F3226B" w:rsidRPr="00D57D3F">
        <w:rPr>
          <w:szCs w:val="24"/>
        </w:rPr>
        <w:t>ákon obsahuje rovněž řešení nakládání s odpady, které jsou soustředěny mimo místa k tomu určená. Každý vlastník odpadu má povinnost předat nelegálně soustředěný odpad do zařízení učeného k nakládání s</w:t>
      </w:r>
      <w:r w:rsidR="002A71AE">
        <w:rPr>
          <w:szCs w:val="24"/>
        </w:rPr>
        <w:t> </w:t>
      </w:r>
      <w:r w:rsidR="00F3226B" w:rsidRPr="00D57D3F">
        <w:rPr>
          <w:szCs w:val="24"/>
        </w:rPr>
        <w:t>odpady</w:t>
      </w:r>
      <w:r w:rsidR="002A71AE">
        <w:rPr>
          <w:szCs w:val="24"/>
        </w:rPr>
        <w:t>,</w:t>
      </w:r>
      <w:r w:rsidR="00F3226B" w:rsidRPr="00D57D3F">
        <w:rPr>
          <w:szCs w:val="24"/>
        </w:rPr>
        <w:t xml:space="preserve"> a to i v případě, že takovou situaci nezpůsobil.</w:t>
      </w:r>
      <w:r w:rsidRPr="00D57D3F">
        <w:rPr>
          <w:szCs w:val="24"/>
        </w:rPr>
        <w:t xml:space="preserve"> </w:t>
      </w:r>
      <w:r w:rsidR="00FA6A27" w:rsidRPr="00D57D3F">
        <w:rPr>
          <w:szCs w:val="24"/>
        </w:rPr>
        <w:t>Pokud se vlastník pozemku dozví o nelegálně soustředěném odpadu na svém pozemku, je povinen oznámit tuto skutečnost bez zbytečného odkladu obecnímu úřadu obce s rozšířenou působností, v jehož správním obvodu je odpad soustředěn.</w:t>
      </w:r>
      <w:r w:rsidR="000F026F" w:rsidRPr="00D57D3F">
        <w:rPr>
          <w:szCs w:val="24"/>
        </w:rPr>
        <w:t xml:space="preserve"> </w:t>
      </w:r>
      <w:r w:rsidR="00F3226B" w:rsidRPr="00D57D3F">
        <w:rPr>
          <w:rFonts w:eastAsia="Calibri" w:cs="Times New Roman"/>
          <w:szCs w:val="24"/>
        </w:rPr>
        <w:t xml:space="preserve"> Tento úřad se následně pokusí zjistit osobu, která odpad v daném místě soustředila, a stanoví této osobě lhůtu k odklizení odpadu. Pokud totožnost takové osoby nezjistí nebo taková osoba zemřela nebo zanikla, aniž by její povinnosti ve vztahu k tomuto odpadu přešly na jinou osobu, vyzve obecní úřad obce s rozšířenou působností vlastníka pozemku k odklizení odpadu a jeho předání do zařízení určeného pro nakládání s odpady. </w:t>
      </w:r>
      <w:r w:rsidR="000F026F" w:rsidRPr="00D57D3F">
        <w:rPr>
          <w:rFonts w:eastAsia="Calibri" w:cs="Times New Roman"/>
          <w:szCs w:val="24"/>
        </w:rPr>
        <w:t xml:space="preserve"> </w:t>
      </w:r>
      <w:r w:rsidR="00F3226B" w:rsidRPr="00D57D3F">
        <w:rPr>
          <w:rFonts w:eastAsia="Calibri" w:cs="Times New Roman"/>
          <w:szCs w:val="24"/>
        </w:rPr>
        <w:t>Obecní úřad obce s rozšířenou působností může vlastníkovi poskytnout při odklízení a předání součinnost.</w:t>
      </w:r>
      <w:r w:rsidR="000F026F" w:rsidRPr="00D57D3F">
        <w:rPr>
          <w:rFonts w:eastAsia="Calibri" w:cs="Times New Roman"/>
          <w:szCs w:val="24"/>
        </w:rPr>
        <w:t xml:space="preserve"> </w:t>
      </w:r>
      <w:r w:rsidR="00F3226B" w:rsidRPr="00D57D3F">
        <w:rPr>
          <w:rFonts w:eastAsia="Calibri" w:cs="Times New Roman"/>
          <w:szCs w:val="24"/>
        </w:rPr>
        <w:t xml:space="preserve">Pokud vlastník pozemku nezajistí odklizení odpadu a předání odpadu do zařízení určeného pro nakládání s odpady, může obecní úřad obce s rozšířenou působností </w:t>
      </w:r>
      <w:r w:rsidR="00F3226B" w:rsidRPr="00D57D3F">
        <w:rPr>
          <w:rFonts w:eastAsia="Times New Roman"/>
          <w:bCs/>
          <w:szCs w:val="24"/>
          <w:lang w:eastAsia="cs-CZ"/>
        </w:rPr>
        <w:t>uložit vlastníkovi pozemku, aby na vlastní náklady zabezpečil místo, kde se nachází nelegálně soustředěný odpad, proti dalšímu návozu odpadu. Tuto povinnost nemusí v</w:t>
      </w:r>
      <w:r w:rsidR="00F3226B" w:rsidRPr="00D57D3F">
        <w:rPr>
          <w:rFonts w:eastAsia="Calibri" w:cs="Times New Roman"/>
          <w:szCs w:val="24"/>
        </w:rPr>
        <w:t xml:space="preserve">lastník pozemku splnit, pokud odpad na vlastní náklady předá do zařízení určeného pro nakládání s odpady do 30 dnů ode dne nabytí právní moci rozhodnutí, kterým je mu taková povinnost uložena. Obecní úřad bude moci v případě nečinnosti vlastníka </w:t>
      </w:r>
      <w:r w:rsidR="00F3226B" w:rsidRPr="00D57D3F">
        <w:rPr>
          <w:rFonts w:eastAsia="Calibri" w:cs="Times New Roman"/>
          <w:szCs w:val="24"/>
        </w:rPr>
        <w:lastRenderedPageBreak/>
        <w:t xml:space="preserve">pozemku na vlastní náklady </w:t>
      </w:r>
      <w:r w:rsidR="00F3226B" w:rsidRPr="00D57D3F">
        <w:rPr>
          <w:rFonts w:eastAsia="Times New Roman"/>
          <w:bCs/>
          <w:szCs w:val="24"/>
          <w:lang w:eastAsia="cs-CZ"/>
        </w:rPr>
        <w:t>zabezpečit odpad, který ohrožuje životní prostředí, před únikem škodlivin do okolního prostředí, nebo nelegálně soustředěný odpad odklidit a předat do zařízení určeného pro nakládání s odpady.</w:t>
      </w:r>
      <w:r w:rsidR="00F3226B" w:rsidRPr="00D57D3F">
        <w:rPr>
          <w:rFonts w:eastAsia="Calibri" w:cs="Times New Roman"/>
          <w:szCs w:val="24"/>
        </w:rPr>
        <w:t xml:space="preserve"> Vlastník pozemku bude povinen strpět na svém pozemku činnost osob provádějících zabezpečení nebo odklízení odpadu. </w:t>
      </w:r>
    </w:p>
    <w:p w:rsidR="002A4D48" w:rsidRPr="00D57D3F" w:rsidRDefault="008C12E6" w:rsidP="00DF4A55">
      <w:pPr>
        <w:spacing w:after="360" w:line="276" w:lineRule="auto"/>
        <w:rPr>
          <w:rFonts w:eastAsia="Calibri" w:cs="Times New Roman"/>
          <w:szCs w:val="24"/>
        </w:rPr>
      </w:pPr>
      <w:r w:rsidRPr="00D57D3F">
        <w:rPr>
          <w:rFonts w:eastAsia="Calibri" w:cs="Times New Roman"/>
          <w:szCs w:val="24"/>
        </w:rPr>
        <w:t xml:space="preserve">V roce 2020 se zvažovala podpora z NPŽP na odstraňování takových černých skládek.  </w:t>
      </w:r>
    </w:p>
    <w:p w:rsidR="00240A4E" w:rsidRPr="00D57D3F" w:rsidRDefault="008C12E6" w:rsidP="00F37CCB">
      <w:pPr>
        <w:spacing w:after="60" w:line="276" w:lineRule="auto"/>
        <w:rPr>
          <w:b/>
          <w:bCs/>
          <w:iCs/>
          <w:sz w:val="26"/>
          <w:szCs w:val="26"/>
          <w:u w:val="single"/>
        </w:rPr>
      </w:pPr>
      <w:r w:rsidRPr="00D57D3F">
        <w:rPr>
          <w:b/>
          <w:bCs/>
          <w:iCs/>
          <w:sz w:val="26"/>
          <w:szCs w:val="26"/>
          <w:u w:val="single"/>
        </w:rPr>
        <w:t>Staré zátěže</w:t>
      </w:r>
    </w:p>
    <w:p w:rsidR="0008594A" w:rsidRPr="00D57D3F" w:rsidRDefault="008C12E6" w:rsidP="002552C6">
      <w:pPr>
        <w:spacing w:after="120" w:line="276" w:lineRule="auto"/>
      </w:pPr>
      <w:r w:rsidRPr="00D57D3F">
        <w:t>S</w:t>
      </w:r>
      <w:r w:rsidRPr="00D57D3F">
        <w:t>taré ekologické zátěže jsou projevem negativních důsledků hospodářské činnosti</w:t>
      </w:r>
      <w:r w:rsidR="00E3162B" w:rsidRPr="00D57D3F">
        <w:t xml:space="preserve">. </w:t>
      </w:r>
      <w:r w:rsidRPr="00D57D3F">
        <w:t>Představují závažnou kontaminaci horninového prostředí, podzemních i povrchových vod, zemin nebo stavebních konstrukcí, ke které došlo nevhodným nakládáním s nebezpečnými látka</w:t>
      </w:r>
      <w:r w:rsidRPr="00D57D3F">
        <w:t>mi v minulosti (před rokem 1989)</w:t>
      </w:r>
      <w:r w:rsidR="00085792" w:rsidRPr="00D57D3F">
        <w:t xml:space="preserve">, </w:t>
      </w:r>
      <w:r w:rsidRPr="00D57D3F">
        <w:t xml:space="preserve">a která ohrožuje zdraví </w:t>
      </w:r>
      <w:r w:rsidR="00E3162B" w:rsidRPr="00D57D3F">
        <w:t>lidí</w:t>
      </w:r>
      <w:r w:rsidRPr="00D57D3F">
        <w:t xml:space="preserve"> a životní prostředí. Rozsáhlý výskyt starých ekologických zátěží na území ČR je jedním z historických pozůstatků </w:t>
      </w:r>
      <w:r w:rsidR="00E3162B" w:rsidRPr="00D57D3F">
        <w:t xml:space="preserve">minulé doby. </w:t>
      </w:r>
      <w:r w:rsidRPr="00D57D3F">
        <w:t>Pro evidenci informací o kontaminovaných a potenciálně kontaminovan</w:t>
      </w:r>
      <w:r w:rsidRPr="00D57D3F">
        <w:t xml:space="preserve">ých místech </w:t>
      </w:r>
      <w:r w:rsidR="00E3162B" w:rsidRPr="00D57D3F">
        <w:t xml:space="preserve">je používána </w:t>
      </w:r>
      <w:r w:rsidRPr="00D57D3F">
        <w:t xml:space="preserve">databáze </w:t>
      </w:r>
      <w:r w:rsidRPr="00D57D3F">
        <w:rPr>
          <w:b/>
        </w:rPr>
        <w:t>Systém evidence kontaminovaných míst (SEKM)</w:t>
      </w:r>
      <w:r w:rsidR="00E3162B" w:rsidRPr="00D57D3F">
        <w:t>. Tento systém ovšem</w:t>
      </w:r>
      <w:r w:rsidR="00E3162B" w:rsidRPr="00D57D3F">
        <w:rPr>
          <w:b/>
        </w:rPr>
        <w:t xml:space="preserve"> </w:t>
      </w:r>
      <w:r w:rsidRPr="00D57D3F">
        <w:t xml:space="preserve">neposkytuje přehled o celkovém počtu kontaminovaných nebo potenciálně kontaminovaných míst na území ČR. S pomocí druhé etapy </w:t>
      </w:r>
      <w:r w:rsidR="002552C6" w:rsidRPr="00D57D3F">
        <w:t>(</w:t>
      </w:r>
      <w:r w:rsidR="002A71AE" w:rsidRPr="00D57D3F">
        <w:t>2018–2021</w:t>
      </w:r>
      <w:r w:rsidR="002552C6" w:rsidRPr="00D57D3F">
        <w:t xml:space="preserve">) </w:t>
      </w:r>
      <w:r w:rsidR="00E3162B" w:rsidRPr="00D57D3F">
        <w:t>Národní inventarizace kontaminovaných míst (NIKM)</w:t>
      </w:r>
      <w:r w:rsidRPr="00D57D3F">
        <w:t xml:space="preserve"> bude databáze SEKM doplněna aktuálními informacemi a umožní získat ucelenou informaci o počtu a rizikovosti starých ekologických zátěží na území ČR.</w:t>
      </w:r>
    </w:p>
    <w:p w:rsidR="00DA5DA4" w:rsidRPr="00D57D3F" w:rsidRDefault="008C12E6" w:rsidP="002552C6">
      <w:pPr>
        <w:spacing w:after="120" w:line="276" w:lineRule="auto"/>
      </w:pPr>
      <w:r w:rsidRPr="00D57D3F">
        <w:t xml:space="preserve">V současnosti stále probíhají </w:t>
      </w:r>
      <w:r w:rsidRPr="00D57D3F">
        <w:rPr>
          <w:b/>
        </w:rPr>
        <w:t>rekultivace a sanace dotčených lokalit</w:t>
      </w:r>
      <w:r w:rsidRPr="00D57D3F">
        <w:t xml:space="preserve">. Celkový </w:t>
      </w:r>
      <w:r w:rsidRPr="00D57D3F">
        <w:t xml:space="preserve">počet starých ekologických zátěží na území ČR není znám. Přírůstková databáze SEKM v roce 2020 obsahovala 11 036 lokalit. </w:t>
      </w:r>
    </w:p>
    <w:p w:rsidR="000C56C0" w:rsidRPr="00D57D3F" w:rsidRDefault="008C12E6" w:rsidP="002552C6">
      <w:pPr>
        <w:spacing w:after="120" w:line="276" w:lineRule="auto"/>
      </w:pPr>
      <w:r w:rsidRPr="00D57D3F">
        <w:t>Nejvíce lokalit starých ekologických zátěží evidovaných v SEKM se nachází v krajích Středočeském, Olomouckém a Hl. m. Praha. Většinou</w:t>
      </w:r>
      <w:r w:rsidRPr="00D57D3F">
        <w:t xml:space="preserve"> se jedná o bývalé průmyslové objekty. Lokality se průběžně mapují a inventarizují, hlavně z důvodu jejich následné sanace, pomocí níž lze snižovat jejich počet a možná rizika pro ekosystémy i lidské zdraví. V období 2010–2019 byly při splnění podmínek náp</w:t>
      </w:r>
      <w:r w:rsidRPr="00D57D3F">
        <w:t xml:space="preserve">ravných opatření ukončeny sanace 590 lokalit starých ekologických zátěží (z toho v roce 2019 celkem 221 lokalit) a dalších 89 nápravných opatření bylo ukončeno v nevyhovujícím stavu (z toho v roce 2019 celkem 27 lokalit). </w:t>
      </w:r>
    </w:p>
    <w:p w:rsidR="000C56C0" w:rsidRPr="00D57D3F" w:rsidRDefault="008C12E6" w:rsidP="002552C6">
      <w:pPr>
        <w:spacing w:after="120" w:line="276" w:lineRule="auto"/>
      </w:pPr>
      <w:r w:rsidRPr="00D57D3F">
        <w:t>Sanace kontaminovaných a rizikový</w:t>
      </w:r>
      <w:r w:rsidRPr="00D57D3F">
        <w:t>ch lokalit má přispívat ke snižování zdravotních rizik. Sanace starých ekologických zátěží v ČR jsou financovány zejména z prostředků MF ČR (tzv.</w:t>
      </w:r>
      <w:r w:rsidR="005C448A" w:rsidRPr="00D57D3F">
        <w:t> </w:t>
      </w:r>
      <w:r w:rsidRPr="00D57D3F">
        <w:t>„Ekologické smlouvy“), z finančních prostředků jednotlivých resortů a rovněž z</w:t>
      </w:r>
      <w:r w:rsidR="005C448A" w:rsidRPr="00D57D3F">
        <w:t> </w:t>
      </w:r>
      <w:r w:rsidRPr="00D57D3F">
        <w:t>evropských fondů čerpaných pros</w:t>
      </w:r>
      <w:r w:rsidRPr="00D57D3F">
        <w:t>třednictvím operačních programů, především pak z</w:t>
      </w:r>
      <w:r w:rsidR="005C448A" w:rsidRPr="00D57D3F">
        <w:t> </w:t>
      </w:r>
      <w:r w:rsidRPr="00D57D3F">
        <w:t>Operačního programu Životní prostředí. Celkové náklady představovaly v rámci 6. výzvy pro specifický cíl 3.4, resp. 99. výzvy z Operačního programu Životní prostředí (srpen–říjen 2019) 687 mil. Kč.</w:t>
      </w:r>
      <w:r w:rsidR="00DA5DA4" w:rsidRPr="00D57D3F">
        <w:rPr>
          <w:rFonts w:ascii="Calibri" w:hAnsi="Calibri" w:cs="Calibri"/>
          <w:color w:val="000000"/>
          <w:sz w:val="22"/>
        </w:rPr>
        <w:t xml:space="preserve"> </w:t>
      </w:r>
      <w:r w:rsidR="00DA5DA4" w:rsidRPr="00D57D3F">
        <w:t>V roce 2020 však nebyla pro specifický cíl 3.4 Operačního programu Životní prostředí vyhlášena žádná výzva.</w:t>
      </w:r>
    </w:p>
    <w:p w:rsidR="00E92359" w:rsidRPr="00D57D3F" w:rsidRDefault="008C12E6" w:rsidP="00DA5DA4">
      <w:pPr>
        <w:spacing w:after="120" w:line="276" w:lineRule="auto"/>
      </w:pPr>
      <w:r w:rsidRPr="00D57D3F">
        <w:rPr>
          <w:b/>
        </w:rPr>
        <w:lastRenderedPageBreak/>
        <w:t>Počet lokalit starých ekologických zátěží s ukončenou sanací v ČR</w:t>
      </w:r>
      <w:r w:rsidRPr="00D57D3F">
        <w:t xml:space="preserve"> lze, alespoň částečně, hodnotit na základě dat evidovaných v databázi SEKM</w:t>
      </w:r>
      <w:r w:rsidR="00E3162B" w:rsidRPr="00D57D3F">
        <w:t xml:space="preserve">. </w:t>
      </w:r>
      <w:r w:rsidRPr="00D57D3F">
        <w:t>Databáze SEKM v</w:t>
      </w:r>
      <w:r w:rsidRPr="00D57D3F">
        <w:t xml:space="preserve">šak nezahrnuje informace o nápravných opatřeních krajů, SFŽP a dalších resortů, a neeviduje ani soukromé investice, tudíž není úplná. </w:t>
      </w:r>
    </w:p>
    <w:p w:rsidR="00D57D3F" w:rsidRDefault="008C12E6" w:rsidP="0054697A">
      <w:pPr>
        <w:spacing w:after="360" w:line="276" w:lineRule="auto"/>
      </w:pPr>
      <w:r w:rsidRPr="00D57D3F">
        <w:t>Za období 2010–2020 byly při splnění podmínek nápravných opatření ukončeny sanace 1 027 lokalit starých ekologických zátě</w:t>
      </w:r>
      <w:r w:rsidRPr="00D57D3F">
        <w:t xml:space="preserve">ží, přičemž v roce 2020 byly ukončeny sanace 437 lokalit. </w:t>
      </w:r>
      <w:r w:rsidR="0008594A" w:rsidRPr="00D57D3F">
        <w:t>I</w:t>
      </w:r>
      <w:r w:rsidRPr="00D57D3F">
        <w:t> </w:t>
      </w:r>
      <w:r w:rsidR="0008594A" w:rsidRPr="00D57D3F">
        <w:t>přes nespornou prospěšnost a značný rozsah již provedených nápravných opatření zůstává v ČR stále velké množství (řádově tisíce) starých ekologických zátěží</w:t>
      </w:r>
      <w:r w:rsidR="00D53E56" w:rsidRPr="00D57D3F">
        <w:t>.</w:t>
      </w:r>
    </w:p>
    <w:p w:rsidR="00ED39EE" w:rsidRDefault="00ED39EE" w:rsidP="00ED39EE">
      <w:pPr>
        <w:spacing w:after="120" w:line="276" w:lineRule="auto"/>
      </w:pPr>
    </w:p>
    <w:p w:rsidR="00240A4E" w:rsidRPr="000314BF" w:rsidRDefault="008C12E6" w:rsidP="00AC5815">
      <w:pPr>
        <w:spacing w:after="120" w:line="276" w:lineRule="auto"/>
        <w:rPr>
          <w:b/>
          <w:bCs/>
          <w:sz w:val="26"/>
          <w:szCs w:val="26"/>
          <w:u w:val="single"/>
        </w:rPr>
      </w:pPr>
      <w:r w:rsidRPr="000314BF">
        <w:rPr>
          <w:b/>
          <w:bCs/>
          <w:sz w:val="26"/>
          <w:szCs w:val="26"/>
          <w:u w:val="single"/>
        </w:rPr>
        <w:t>Národní program Životní prostředí (NP</w:t>
      </w:r>
      <w:r w:rsidRPr="000314BF">
        <w:rPr>
          <w:b/>
          <w:bCs/>
          <w:sz w:val="26"/>
          <w:szCs w:val="26"/>
          <w:u w:val="single"/>
        </w:rPr>
        <w:t>ŽP)</w:t>
      </w:r>
    </w:p>
    <w:p w:rsidR="00381357" w:rsidRPr="000314BF" w:rsidRDefault="008C12E6" w:rsidP="00381357">
      <w:pPr>
        <w:spacing w:after="120" w:line="276" w:lineRule="auto"/>
        <w:rPr>
          <w:b/>
        </w:rPr>
      </w:pPr>
      <w:r w:rsidRPr="000314BF">
        <w:rPr>
          <w:b/>
        </w:rPr>
        <w:t>Prioritní oblast 3. Odpady, staré zátěže, environmentální rizika</w:t>
      </w:r>
    </w:p>
    <w:p w:rsidR="00381357" w:rsidRPr="000314BF" w:rsidRDefault="008C12E6" w:rsidP="00381357">
      <w:pPr>
        <w:spacing w:after="120" w:line="276" w:lineRule="auto"/>
        <w:rPr>
          <w:b/>
          <w:vanish/>
        </w:rPr>
      </w:pPr>
      <w:r w:rsidRPr="000314BF">
        <w:rPr>
          <w:b/>
        </w:rPr>
        <w:t xml:space="preserve">Podoblast 3: Odstranění a rekultivace nelegálních skladů odpadů a sanace havarijních  </w:t>
      </w:r>
    </w:p>
    <w:p w:rsidR="00381357" w:rsidRPr="000314BF" w:rsidRDefault="008C12E6" w:rsidP="00381357">
      <w:pPr>
        <w:spacing w:after="120" w:line="276" w:lineRule="auto"/>
        <w:rPr>
          <w:b/>
        </w:rPr>
      </w:pPr>
      <w:r w:rsidRPr="000314BF">
        <w:rPr>
          <w:b/>
        </w:rPr>
        <w:tab/>
        <w:t xml:space="preserve">           stavů, které představují akutní riziko pro životní prostředí</w:t>
      </w:r>
    </w:p>
    <w:p w:rsidR="00130EAA" w:rsidRPr="00C516A5" w:rsidRDefault="008C12E6" w:rsidP="00130EAA">
      <w:pPr>
        <w:spacing w:after="120" w:line="276" w:lineRule="auto"/>
        <w:rPr>
          <w:i/>
        </w:rPr>
      </w:pPr>
      <w:r w:rsidRPr="000314BF">
        <w:t xml:space="preserve">Cíle: </w:t>
      </w:r>
      <w:r w:rsidRPr="00C516A5">
        <w:rPr>
          <w:i/>
        </w:rPr>
        <w:t xml:space="preserve">Odstranění a </w:t>
      </w:r>
      <w:r w:rsidRPr="00C516A5">
        <w:rPr>
          <w:i/>
        </w:rPr>
        <w:t>rekultivace nelegálních skladů odpadů a závadných látek.</w:t>
      </w:r>
    </w:p>
    <w:p w:rsidR="00130EAA" w:rsidRPr="000314BF" w:rsidRDefault="008C12E6" w:rsidP="00130EAA">
      <w:pPr>
        <w:spacing w:after="120" w:line="276" w:lineRule="auto"/>
      </w:pPr>
      <w:r w:rsidRPr="000314BF">
        <w:t>Podporovaná aktivita: 3.3.B – Odstraňování nelegálních skladů odpadů</w:t>
      </w:r>
    </w:p>
    <w:p w:rsidR="00130EAA" w:rsidRPr="00C516A5" w:rsidRDefault="008C12E6" w:rsidP="00130EAA">
      <w:pPr>
        <w:spacing w:after="120" w:line="276" w:lineRule="auto"/>
        <w:rPr>
          <w:i/>
        </w:rPr>
      </w:pPr>
      <w:r w:rsidRPr="000314BF">
        <w:t xml:space="preserve">Cíle: </w:t>
      </w:r>
      <w:r w:rsidRPr="00C516A5">
        <w:rPr>
          <w:i/>
        </w:rPr>
        <w:t xml:space="preserve">Řešení starých ekologických zátěží, představujících riziko pro lidské zdraví, přičemž původce znečištění neexistuje nebo </w:t>
      </w:r>
      <w:r w:rsidRPr="00C516A5">
        <w:rPr>
          <w:i/>
        </w:rPr>
        <w:t>není znám.</w:t>
      </w:r>
    </w:p>
    <w:p w:rsidR="00130EAA" w:rsidRPr="000314BF" w:rsidRDefault="008C12E6" w:rsidP="00130EAA">
      <w:pPr>
        <w:spacing w:after="120" w:line="276" w:lineRule="auto"/>
      </w:pPr>
      <w:r w:rsidRPr="000314BF">
        <w:t>Podporovaná aktivita: 3.3.</w:t>
      </w:r>
      <w:r w:rsidR="00C538C7">
        <w:t>E</w:t>
      </w:r>
      <w:r w:rsidRPr="000314BF">
        <w:t xml:space="preserve"> – Sanace havarijních stavů a sanace starých ekologických zátěží </w:t>
      </w:r>
    </w:p>
    <w:p w:rsidR="00130EAA" w:rsidRPr="00C516A5" w:rsidRDefault="008C12E6" w:rsidP="00130EAA">
      <w:pPr>
        <w:spacing w:after="120" w:line="276" w:lineRule="auto"/>
        <w:rPr>
          <w:i/>
        </w:rPr>
      </w:pPr>
      <w:r w:rsidRPr="000314BF">
        <w:t xml:space="preserve">Cíle: </w:t>
      </w:r>
      <w:r w:rsidR="00C516A5" w:rsidRPr="00C516A5">
        <w:rPr>
          <w:i/>
        </w:rPr>
        <w:t>P</w:t>
      </w:r>
      <w:r w:rsidRPr="00C516A5">
        <w:rPr>
          <w:i/>
        </w:rPr>
        <w:t>odpořit správné nakládání s vozidly s ukončenou životností v celém řetězci, ve kterém je s nimi nakládáno.</w:t>
      </w:r>
    </w:p>
    <w:p w:rsidR="00130EAA" w:rsidRPr="00240A4E" w:rsidRDefault="008C12E6" w:rsidP="00130EAA">
      <w:pPr>
        <w:spacing w:after="120" w:line="276" w:lineRule="auto"/>
      </w:pPr>
      <w:r w:rsidRPr="000314BF">
        <w:t>Podporovaná aktivita: 3.2.A – Rozvoj s</w:t>
      </w:r>
      <w:r w:rsidRPr="000314BF">
        <w:t>ystémů pro zvyšování materiálového i celkového využívání autovraků</w:t>
      </w:r>
    </w:p>
    <w:p w:rsidR="006718ED" w:rsidRPr="003A60D4" w:rsidRDefault="008C12E6" w:rsidP="005673D8">
      <w:pPr>
        <w:spacing w:after="60"/>
        <w:rPr>
          <w:rFonts w:eastAsia="Times New Roman" w:cs="Arial"/>
          <w:sz w:val="18"/>
          <w:szCs w:val="18"/>
          <w:lang w:eastAsia="cs-CZ"/>
        </w:rPr>
      </w:pPr>
      <w:r w:rsidRPr="002809C1">
        <w:rPr>
          <w:b/>
        </w:rPr>
        <w:t>Tabulka</w:t>
      </w:r>
      <w:r w:rsidR="00C21971" w:rsidRPr="002809C1">
        <w:rPr>
          <w:b/>
        </w:rPr>
        <w:t xml:space="preserve"> </w:t>
      </w:r>
      <w:r w:rsidR="005E7AD6">
        <w:rPr>
          <w:b/>
        </w:rPr>
        <w:t>3</w:t>
      </w:r>
      <w:r w:rsidRPr="002809C1">
        <w:rPr>
          <w:b/>
        </w:rPr>
        <w:t>: Podpořené</w:t>
      </w:r>
      <w:r w:rsidRPr="006718ED">
        <w:rPr>
          <w:b/>
        </w:rPr>
        <w:t xml:space="preserve"> projekty za roky 201</w:t>
      </w:r>
      <w:r w:rsidR="00DE74AC">
        <w:rPr>
          <w:b/>
        </w:rPr>
        <w:t>5</w:t>
      </w:r>
      <w:r w:rsidRPr="006718ED">
        <w:rPr>
          <w:b/>
        </w:rPr>
        <w:t xml:space="preserve"> a 201</w:t>
      </w:r>
      <w:r w:rsidR="00DE74AC">
        <w:rPr>
          <w:b/>
        </w:rPr>
        <w:t>6</w:t>
      </w:r>
    </w:p>
    <w:tbl>
      <w:tblPr>
        <w:tblStyle w:val="Tabulkasmkou2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929"/>
        <w:gridCol w:w="1302"/>
        <w:gridCol w:w="2953"/>
        <w:gridCol w:w="923"/>
        <w:gridCol w:w="1204"/>
        <w:gridCol w:w="1127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18ED" w:rsidRPr="009F012D" w:rsidRDefault="008C12E6" w:rsidP="00C2197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18ED" w:rsidRPr="009F012D" w:rsidRDefault="008C12E6" w:rsidP="00C219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1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18ED" w:rsidRPr="009F012D" w:rsidRDefault="008C12E6" w:rsidP="00C219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18ED" w:rsidRPr="009F012D" w:rsidRDefault="008C12E6" w:rsidP="00C219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18ED" w:rsidRPr="009F012D" w:rsidRDefault="008C12E6" w:rsidP="004513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Celk</w:t>
            </w:r>
            <w:r w:rsidR="00883A3D">
              <w:rPr>
                <w:rFonts w:eastAsia="Times New Roman" w:cs="Arial"/>
                <w:sz w:val="20"/>
                <w:szCs w:val="20"/>
                <w:lang w:eastAsia="cs-CZ"/>
              </w:rPr>
              <w:t>ová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podpora (v tis.</w:t>
            </w:r>
            <w:r w:rsidR="004513C5">
              <w:rPr>
                <w:rFonts w:eastAsia="Times New Roman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18ED" w:rsidRPr="009F012D" w:rsidRDefault="008C12E6" w:rsidP="00C219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Půjčka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br/>
              <w:t>(v tis.</w:t>
            </w:r>
            <w:r w:rsidR="004513C5">
              <w:rPr>
                <w:rFonts w:eastAsia="Times New Roman" w:cs="Arial"/>
                <w:sz w:val="20"/>
                <w:szCs w:val="20"/>
                <w:lang w:eastAsia="cs-CZ"/>
              </w:rPr>
              <w:t xml:space="preserve"> Kč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718ED" w:rsidRPr="009F012D" w:rsidRDefault="008C12E6" w:rsidP="00C219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Dotace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br/>
              <w:t>(v tis</w:t>
            </w:r>
            <w:r w:rsidR="004513C5">
              <w:rPr>
                <w:rFonts w:eastAsia="Times New Roman" w:cs="Arial"/>
                <w:sz w:val="20"/>
                <w:szCs w:val="20"/>
                <w:lang w:eastAsia="cs-CZ"/>
              </w:rPr>
              <w:t>. Kč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302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cs="Arial"/>
                <w:color w:val="000000"/>
                <w:sz w:val="20"/>
                <w:szCs w:val="20"/>
              </w:rPr>
              <w:t>Jihočeský kraj</w:t>
            </w:r>
          </w:p>
        </w:tc>
        <w:tc>
          <w:tcPr>
            <w:tcW w:w="2953" w:type="dxa"/>
            <w:vAlign w:val="center"/>
          </w:tcPr>
          <w:p w:rsidR="006718ED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Odstranění </w:t>
            </w:r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ilegálního skladu odpadů po společnosti </w:t>
            </w:r>
            <w:proofErr w:type="spellStart"/>
            <w:r w:rsidRPr="009F012D">
              <w:rPr>
                <w:rFonts w:cs="Arial"/>
                <w:color w:val="000000"/>
                <w:sz w:val="20"/>
                <w:szCs w:val="20"/>
              </w:rPr>
              <w:t>Profiakont</w:t>
            </w:r>
            <w:proofErr w:type="spellEnd"/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 s.r.o. v </w:t>
            </w:r>
            <w:proofErr w:type="spellStart"/>
            <w:r w:rsidRPr="009F012D">
              <w:rPr>
                <w:rFonts w:cs="Arial"/>
                <w:color w:val="000000"/>
                <w:sz w:val="20"/>
                <w:szCs w:val="20"/>
              </w:rPr>
              <w:t>k.ú</w:t>
            </w:r>
            <w:proofErr w:type="spellEnd"/>
            <w:r w:rsidRPr="009F012D">
              <w:rPr>
                <w:rFonts w:cs="Arial"/>
                <w:color w:val="000000"/>
                <w:sz w:val="20"/>
                <w:szCs w:val="20"/>
              </w:rPr>
              <w:t>. Hůry</w:t>
            </w:r>
          </w:p>
        </w:tc>
        <w:tc>
          <w:tcPr>
            <w:tcW w:w="923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>6 421</w:t>
            </w:r>
          </w:p>
        </w:tc>
        <w:tc>
          <w:tcPr>
            <w:tcW w:w="1204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7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>6 421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3.3.E</w:t>
            </w:r>
          </w:p>
        </w:tc>
        <w:tc>
          <w:tcPr>
            <w:tcW w:w="1302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Město Lovosice</w:t>
            </w:r>
          </w:p>
        </w:tc>
        <w:tc>
          <w:tcPr>
            <w:tcW w:w="2953" w:type="dxa"/>
            <w:vAlign w:val="center"/>
          </w:tcPr>
          <w:p w:rsidR="006718ED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Zabezpečení, odstranění a sanace rizikových odpadů v areálu bývalé </w:t>
            </w:r>
            <w:proofErr w:type="spellStart"/>
            <w:r w:rsidRPr="009F012D">
              <w:rPr>
                <w:rFonts w:cs="Arial"/>
                <w:color w:val="000000"/>
                <w:sz w:val="20"/>
                <w:szCs w:val="20"/>
              </w:rPr>
              <w:t>olejny</w:t>
            </w:r>
            <w:proofErr w:type="spellEnd"/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 v Lovosicích</w:t>
            </w:r>
          </w:p>
        </w:tc>
        <w:tc>
          <w:tcPr>
            <w:tcW w:w="923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9F012D"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898</w:t>
            </w:r>
          </w:p>
        </w:tc>
        <w:tc>
          <w:tcPr>
            <w:tcW w:w="1204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7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9F012D"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898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3.3.E</w:t>
            </w:r>
          </w:p>
        </w:tc>
        <w:tc>
          <w:tcPr>
            <w:tcW w:w="1302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Liberecký kraj</w:t>
            </w:r>
          </w:p>
        </w:tc>
        <w:tc>
          <w:tcPr>
            <w:tcW w:w="2953" w:type="dxa"/>
            <w:vAlign w:val="center"/>
          </w:tcPr>
          <w:p w:rsidR="006718ED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Odstranění </w:t>
            </w:r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ilegálního návozu odpadů z lokality </w:t>
            </w:r>
            <w:proofErr w:type="gramStart"/>
            <w:r w:rsidRPr="009F012D">
              <w:rPr>
                <w:rFonts w:cs="Arial"/>
                <w:color w:val="000000"/>
                <w:sz w:val="20"/>
                <w:szCs w:val="20"/>
              </w:rPr>
              <w:t>Arnoltice - sanace</w:t>
            </w:r>
            <w:proofErr w:type="gramEnd"/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 ekologické zátěže</w:t>
            </w:r>
          </w:p>
        </w:tc>
        <w:tc>
          <w:tcPr>
            <w:tcW w:w="923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>6 349</w:t>
            </w:r>
          </w:p>
        </w:tc>
        <w:tc>
          <w:tcPr>
            <w:tcW w:w="1204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7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6</w:t>
            </w:r>
            <w:r w:rsidR="009F012D"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349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3.3.E</w:t>
            </w:r>
          </w:p>
        </w:tc>
        <w:tc>
          <w:tcPr>
            <w:tcW w:w="1302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2953" w:type="dxa"/>
            <w:vAlign w:val="center"/>
          </w:tcPr>
          <w:p w:rsidR="006718ED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Zajištění a odstranění odpadů v areálu bývalého závodu Vlněna </w:t>
            </w:r>
            <w:proofErr w:type="gramStart"/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Brněnec - </w:t>
            </w:r>
            <w:proofErr w:type="spellStart"/>
            <w:r w:rsidRPr="009F012D">
              <w:rPr>
                <w:rFonts w:cs="Arial"/>
                <w:color w:val="000000"/>
                <w:sz w:val="20"/>
                <w:szCs w:val="20"/>
              </w:rPr>
              <w:t>Vitka</w:t>
            </w:r>
            <w:proofErr w:type="spellEnd"/>
            <w:proofErr w:type="gramEnd"/>
            <w:r w:rsidRPr="009F012D">
              <w:rPr>
                <w:rFonts w:cs="Arial"/>
                <w:color w:val="000000"/>
                <w:sz w:val="20"/>
                <w:szCs w:val="20"/>
              </w:rPr>
              <w:t xml:space="preserve"> Brněnec</w:t>
            </w:r>
          </w:p>
        </w:tc>
        <w:tc>
          <w:tcPr>
            <w:tcW w:w="923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757</w:t>
            </w:r>
          </w:p>
        </w:tc>
        <w:tc>
          <w:tcPr>
            <w:tcW w:w="1204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7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757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2015</w:t>
            </w:r>
          </w:p>
        </w:tc>
        <w:tc>
          <w:tcPr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3.3.E</w:t>
            </w:r>
          </w:p>
        </w:tc>
        <w:tc>
          <w:tcPr>
            <w:tcW w:w="1302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2953" w:type="dxa"/>
            <w:vAlign w:val="center"/>
          </w:tcPr>
          <w:p w:rsidR="006718ED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 xml:space="preserve">Odstranění </w:t>
            </w:r>
            <w:r w:rsidRPr="009F012D">
              <w:rPr>
                <w:color w:val="000000"/>
                <w:sz w:val="20"/>
                <w:szCs w:val="20"/>
              </w:rPr>
              <w:t>skládky pneumatik v obci Bor u Skutče</w:t>
            </w:r>
          </w:p>
        </w:tc>
        <w:tc>
          <w:tcPr>
            <w:tcW w:w="923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>19 525</w:t>
            </w:r>
          </w:p>
        </w:tc>
        <w:tc>
          <w:tcPr>
            <w:tcW w:w="1204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7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19</w:t>
            </w:r>
            <w:r w:rsidR="009F012D"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525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302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Město Železný Brod</w:t>
            </w:r>
          </w:p>
        </w:tc>
        <w:tc>
          <w:tcPr>
            <w:tcW w:w="2953" w:type="dxa"/>
            <w:vAlign w:val="center"/>
          </w:tcPr>
          <w:p w:rsidR="006718ED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 xml:space="preserve">Odstranění odpadů z nelegálního skladu </w:t>
            </w:r>
            <w:proofErr w:type="gramStart"/>
            <w:r w:rsidRPr="009F012D">
              <w:rPr>
                <w:color w:val="000000"/>
                <w:sz w:val="20"/>
                <w:szCs w:val="20"/>
              </w:rPr>
              <w:t>Pěnčín - sanace</w:t>
            </w:r>
            <w:proofErr w:type="gramEnd"/>
            <w:r w:rsidRPr="009F012D">
              <w:rPr>
                <w:color w:val="000000"/>
                <w:sz w:val="20"/>
                <w:szCs w:val="20"/>
              </w:rPr>
              <w:t xml:space="preserve"> ekologické zátěže</w:t>
            </w:r>
          </w:p>
        </w:tc>
        <w:tc>
          <w:tcPr>
            <w:tcW w:w="923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  <w:r w:rsidR="009F012D"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04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7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  <w:r w:rsidR="009F012D"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160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0" w:type="auto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302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Městys Lhenice</w:t>
            </w:r>
          </w:p>
        </w:tc>
        <w:tc>
          <w:tcPr>
            <w:tcW w:w="2953" w:type="dxa"/>
            <w:vAlign w:val="center"/>
          </w:tcPr>
          <w:p w:rsidR="006718ED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 xml:space="preserve">Odstranění pevných a kapalných odpadů z bývalého areálu </w:t>
            </w:r>
            <w:r w:rsidRPr="009F012D">
              <w:rPr>
                <w:color w:val="000000"/>
                <w:sz w:val="20"/>
                <w:szCs w:val="20"/>
              </w:rPr>
              <w:t>ACHP Lhenice - 1. etapa</w:t>
            </w:r>
          </w:p>
        </w:tc>
        <w:tc>
          <w:tcPr>
            <w:tcW w:w="923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>24 579</w:t>
            </w:r>
          </w:p>
        </w:tc>
        <w:tc>
          <w:tcPr>
            <w:tcW w:w="1204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  <w:r w:rsidR="009F012D"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916</w:t>
            </w:r>
          </w:p>
        </w:tc>
        <w:tc>
          <w:tcPr>
            <w:tcW w:w="1127" w:type="dxa"/>
            <w:vAlign w:val="center"/>
          </w:tcPr>
          <w:p w:rsidR="006718ED" w:rsidRPr="009F012D" w:rsidRDefault="008C12E6" w:rsidP="00CA45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color w:val="000000"/>
                <w:sz w:val="20"/>
                <w:szCs w:val="20"/>
              </w:rPr>
              <w:t>19 664</w:t>
            </w:r>
          </w:p>
        </w:tc>
      </w:tr>
    </w:tbl>
    <w:p w:rsidR="006718ED" w:rsidRPr="006718ED" w:rsidRDefault="008C12E6" w:rsidP="006718ED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6718ED">
        <w:rPr>
          <w:rFonts w:eastAsia="Times New Roman" w:cs="Arial"/>
          <w:i/>
          <w:sz w:val="18"/>
          <w:szCs w:val="18"/>
          <w:lang w:eastAsia="cs-CZ"/>
        </w:rPr>
        <w:t>Zdroj: MŽP, SFŽP 2017</w:t>
      </w:r>
    </w:p>
    <w:p w:rsidR="00D07299" w:rsidRDefault="00D07299" w:rsidP="000314BF"/>
    <w:p w:rsidR="005B235B" w:rsidRPr="003A60D4" w:rsidRDefault="008C12E6" w:rsidP="005B235B">
      <w:pPr>
        <w:spacing w:after="60"/>
        <w:rPr>
          <w:rFonts w:eastAsia="Times New Roman" w:cs="Arial"/>
          <w:sz w:val="18"/>
          <w:szCs w:val="18"/>
          <w:lang w:eastAsia="cs-CZ"/>
        </w:rPr>
      </w:pPr>
      <w:r w:rsidRPr="000314BF">
        <w:rPr>
          <w:b/>
        </w:rPr>
        <w:t xml:space="preserve">Tabulka </w:t>
      </w:r>
      <w:r w:rsidR="005E7AD6">
        <w:rPr>
          <w:b/>
        </w:rPr>
        <w:t>4</w:t>
      </w:r>
      <w:r w:rsidRPr="000314BF">
        <w:rPr>
          <w:b/>
        </w:rPr>
        <w:t>: Podpořené projekty za roky 2017 a 2018</w:t>
      </w:r>
    </w:p>
    <w:tbl>
      <w:tblPr>
        <w:tblStyle w:val="Tabulkasmkou2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929"/>
        <w:gridCol w:w="1586"/>
        <w:gridCol w:w="2765"/>
        <w:gridCol w:w="1181"/>
        <w:gridCol w:w="850"/>
        <w:gridCol w:w="1127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35B" w:rsidRPr="009F012D" w:rsidRDefault="008C12E6" w:rsidP="00883A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Celk</w:t>
            </w:r>
            <w:r w:rsidR="00883A3D">
              <w:rPr>
                <w:rFonts w:eastAsia="Times New Roman" w:cs="Arial"/>
                <w:sz w:val="20"/>
                <w:szCs w:val="20"/>
                <w:lang w:eastAsia="cs-CZ"/>
              </w:rPr>
              <w:t>ová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 podpora (v tis.</w:t>
            </w:r>
            <w:r w:rsidR="004513C5">
              <w:rPr>
                <w:rFonts w:eastAsia="Times New Roman" w:cs="Arial"/>
                <w:sz w:val="20"/>
                <w:szCs w:val="20"/>
                <w:lang w:eastAsia="cs-CZ"/>
              </w:rPr>
              <w:t xml:space="preserve"> Kč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Půjčka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br/>
              <w:t>(v tis.</w:t>
            </w:r>
            <w:r w:rsidR="004513C5">
              <w:rPr>
                <w:rFonts w:eastAsia="Times New Roman" w:cs="Arial"/>
                <w:sz w:val="20"/>
                <w:szCs w:val="20"/>
                <w:lang w:eastAsia="cs-CZ"/>
              </w:rPr>
              <w:t xml:space="preserve"> Kč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Dotace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br/>
              <w:t>(v tis</w:t>
            </w:r>
            <w:r w:rsidR="004513C5">
              <w:rPr>
                <w:rFonts w:eastAsia="Times New Roman" w:cs="Arial"/>
                <w:sz w:val="20"/>
                <w:szCs w:val="20"/>
                <w:lang w:eastAsia="cs-CZ"/>
              </w:rPr>
              <w:t>. Kč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586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Město Buštěhrad</w:t>
            </w:r>
          </w:p>
        </w:tc>
        <w:tc>
          <w:tcPr>
            <w:tcW w:w="2765" w:type="dxa"/>
            <w:vAlign w:val="center"/>
          </w:tcPr>
          <w:p w:rsidR="005B235B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 xml:space="preserve">Odstranění 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nelegálního skladu odpadů Buštěhrad</w:t>
            </w:r>
          </w:p>
        </w:tc>
        <w:tc>
          <w:tcPr>
            <w:tcW w:w="1181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8 304</w:t>
            </w:r>
          </w:p>
        </w:tc>
        <w:tc>
          <w:tcPr>
            <w:tcW w:w="850" w:type="dxa"/>
            <w:vAlign w:val="center"/>
          </w:tcPr>
          <w:p w:rsidR="005B235B" w:rsidRPr="009F012D" w:rsidRDefault="005B235B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8 304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586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2765" w:type="dxa"/>
            <w:vAlign w:val="center"/>
          </w:tcPr>
          <w:p w:rsidR="005B235B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SEZ – silážní žlaby Hrobce Rohatce</w:t>
            </w:r>
          </w:p>
        </w:tc>
        <w:tc>
          <w:tcPr>
            <w:tcW w:w="1181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3 605</w:t>
            </w:r>
          </w:p>
        </w:tc>
        <w:tc>
          <w:tcPr>
            <w:tcW w:w="850" w:type="dxa"/>
            <w:vAlign w:val="center"/>
          </w:tcPr>
          <w:p w:rsidR="005B235B" w:rsidRPr="009F012D" w:rsidRDefault="005B235B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3 605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586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2765" w:type="dxa"/>
            <w:vAlign w:val="center"/>
          </w:tcPr>
          <w:p w:rsidR="005B235B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sz w:val="20"/>
                <w:szCs w:val="20"/>
              </w:rPr>
              <w:t xml:space="preserve">Odstranění materiálů ze sanace lagun </w:t>
            </w:r>
            <w:proofErr w:type="spellStart"/>
            <w:r w:rsidRPr="009F012D">
              <w:rPr>
                <w:sz w:val="20"/>
                <w:szCs w:val="20"/>
              </w:rPr>
              <w:t>Ostramo</w:t>
            </w:r>
            <w:proofErr w:type="spellEnd"/>
            <w:r w:rsidRPr="009F012D">
              <w:rPr>
                <w:sz w:val="20"/>
                <w:szCs w:val="20"/>
              </w:rPr>
              <w:t xml:space="preserve"> uložených v lokalitě Vratimov</w:t>
            </w:r>
          </w:p>
        </w:tc>
        <w:tc>
          <w:tcPr>
            <w:tcW w:w="1181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32 085</w:t>
            </w:r>
          </w:p>
        </w:tc>
        <w:tc>
          <w:tcPr>
            <w:tcW w:w="850" w:type="dxa"/>
            <w:vAlign w:val="center"/>
          </w:tcPr>
          <w:p w:rsidR="005B235B" w:rsidRPr="009F012D" w:rsidRDefault="005B235B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32 085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586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Liberecký kraj</w:t>
            </w:r>
          </w:p>
        </w:tc>
        <w:tc>
          <w:tcPr>
            <w:tcW w:w="2765" w:type="dxa"/>
            <w:vAlign w:val="center"/>
          </w:tcPr>
          <w:p w:rsidR="005B235B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cs="Arial"/>
                <w:bCs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Odstranění nebezpečných odpadů s obsahem PCB v obci </w:t>
            </w:r>
            <w:proofErr w:type="gramStart"/>
            <w:r w:rsidRPr="009F012D">
              <w:rPr>
                <w:rFonts w:cs="Arial"/>
                <w:bCs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Dubá - Nový</w:t>
            </w:r>
            <w:proofErr w:type="gramEnd"/>
            <w:r w:rsidRPr="009F012D">
              <w:rPr>
                <w:rFonts w:cs="Arial"/>
                <w:bCs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F012D">
              <w:rPr>
                <w:rFonts w:cs="Arial"/>
                <w:bCs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Bernštejn</w:t>
            </w:r>
            <w:proofErr w:type="spellEnd"/>
            <w:r w:rsidRPr="009F012D">
              <w:rPr>
                <w:rFonts w:cs="Arial"/>
                <w:bCs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- sanace staré ekologické zátěže</w:t>
            </w:r>
          </w:p>
        </w:tc>
        <w:tc>
          <w:tcPr>
            <w:tcW w:w="1181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2 024</w:t>
            </w:r>
          </w:p>
        </w:tc>
        <w:tc>
          <w:tcPr>
            <w:tcW w:w="850" w:type="dxa"/>
            <w:vAlign w:val="center"/>
          </w:tcPr>
          <w:p w:rsidR="005B235B" w:rsidRPr="009F012D" w:rsidRDefault="005B235B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2 024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586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Plzeňský kraj</w:t>
            </w:r>
          </w:p>
        </w:tc>
        <w:tc>
          <w:tcPr>
            <w:tcW w:w="2765" w:type="dxa"/>
            <w:vAlign w:val="center"/>
          </w:tcPr>
          <w:p w:rsidR="005B235B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Chodová Planá – odstranění sk</w:t>
            </w: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ládky pneumatik</w:t>
            </w:r>
          </w:p>
        </w:tc>
        <w:tc>
          <w:tcPr>
            <w:tcW w:w="1181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1 158</w:t>
            </w:r>
          </w:p>
        </w:tc>
        <w:tc>
          <w:tcPr>
            <w:tcW w:w="850" w:type="dxa"/>
            <w:vAlign w:val="center"/>
          </w:tcPr>
          <w:p w:rsidR="005B235B" w:rsidRPr="009F012D" w:rsidRDefault="005B235B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1 158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0" w:type="auto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3.3.B</w:t>
            </w:r>
          </w:p>
        </w:tc>
        <w:tc>
          <w:tcPr>
            <w:tcW w:w="1586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Obec Vitice</w:t>
            </w:r>
          </w:p>
        </w:tc>
        <w:tc>
          <w:tcPr>
            <w:tcW w:w="2765" w:type="dxa"/>
            <w:vAlign w:val="center"/>
          </w:tcPr>
          <w:p w:rsidR="005B235B" w:rsidRPr="009F012D" w:rsidRDefault="008C12E6" w:rsidP="009F012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cs="Arial"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Vitice, likvidace nelegální skládky nebezpečného </w:t>
            </w:r>
            <w:proofErr w:type="gramStart"/>
            <w:r w:rsidRPr="009F012D">
              <w:rPr>
                <w:rFonts w:cs="Arial"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odpadu - tavírenských</w:t>
            </w:r>
            <w:proofErr w:type="gramEnd"/>
            <w:r w:rsidRPr="009F012D">
              <w:rPr>
                <w:rFonts w:cs="Arial"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solí</w:t>
            </w:r>
          </w:p>
        </w:tc>
        <w:tc>
          <w:tcPr>
            <w:tcW w:w="1181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8 144</w:t>
            </w:r>
          </w:p>
        </w:tc>
        <w:tc>
          <w:tcPr>
            <w:tcW w:w="850" w:type="dxa"/>
            <w:vAlign w:val="center"/>
          </w:tcPr>
          <w:p w:rsidR="005B235B" w:rsidRPr="009F012D" w:rsidRDefault="005B235B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Align w:val="center"/>
          </w:tcPr>
          <w:p w:rsidR="005B235B" w:rsidRPr="009F012D" w:rsidRDefault="008C12E6" w:rsidP="003842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012D">
              <w:rPr>
                <w:rFonts w:eastAsia="Times New Roman" w:cs="Arial"/>
                <w:sz w:val="20"/>
                <w:szCs w:val="20"/>
                <w:lang w:eastAsia="cs-CZ"/>
              </w:rPr>
              <w:t>8 144</w:t>
            </w:r>
          </w:p>
        </w:tc>
      </w:tr>
    </w:tbl>
    <w:p w:rsidR="005B235B" w:rsidRPr="006718ED" w:rsidRDefault="008C12E6" w:rsidP="005B235B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>
        <w:rPr>
          <w:rFonts w:eastAsia="Times New Roman" w:cs="Arial"/>
          <w:i/>
          <w:sz w:val="18"/>
          <w:szCs w:val="18"/>
          <w:lang w:eastAsia="cs-CZ"/>
        </w:rPr>
        <w:t>Zdroj: MŽP, SFŽP 2019</w:t>
      </w:r>
    </w:p>
    <w:p w:rsidR="004513C5" w:rsidRDefault="004513C5" w:rsidP="00130EAA">
      <w:pPr>
        <w:spacing w:line="276" w:lineRule="auto"/>
        <w:jc w:val="left"/>
        <w:rPr>
          <w:b/>
        </w:rPr>
      </w:pPr>
    </w:p>
    <w:p w:rsidR="004513C5" w:rsidRPr="004513C5" w:rsidRDefault="008C12E6" w:rsidP="004513C5">
      <w:pPr>
        <w:spacing w:after="60" w:line="276" w:lineRule="auto"/>
        <w:jc w:val="left"/>
      </w:pPr>
      <w:r w:rsidRPr="000314BF">
        <w:rPr>
          <w:b/>
        </w:rPr>
        <w:t xml:space="preserve">Tabulka </w:t>
      </w:r>
      <w:r w:rsidR="005E7AD6">
        <w:rPr>
          <w:b/>
        </w:rPr>
        <w:t>5</w:t>
      </w:r>
      <w:r w:rsidRPr="000314BF">
        <w:rPr>
          <w:b/>
        </w:rPr>
        <w:t>: Podpořené projekty za roky 2019 a 2020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29"/>
        <w:gridCol w:w="3319"/>
        <w:gridCol w:w="1559"/>
        <w:gridCol w:w="2544"/>
      </w:tblGrid>
      <w:tr w:rsidR="007E5173" w:rsidTr="004513C5">
        <w:trPr>
          <w:trHeight w:val="933"/>
          <w:jc w:val="center"/>
        </w:trPr>
        <w:tc>
          <w:tcPr>
            <w:tcW w:w="70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</w:rPr>
            </w:pPr>
            <w:r w:rsidRPr="004513C5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92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</w:rPr>
            </w:pPr>
            <w:r w:rsidRPr="004513C5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31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</w:rPr>
            </w:pPr>
            <w:r w:rsidRPr="004513C5">
              <w:rPr>
                <w:b/>
                <w:sz w:val="20"/>
                <w:szCs w:val="20"/>
              </w:rPr>
              <w:t>Název výzvy</w:t>
            </w:r>
          </w:p>
        </w:tc>
        <w:tc>
          <w:tcPr>
            <w:tcW w:w="155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</w:rPr>
            </w:pPr>
            <w:r w:rsidRPr="004513C5">
              <w:rPr>
                <w:b/>
                <w:sz w:val="20"/>
                <w:szCs w:val="20"/>
              </w:rPr>
              <w:t>Celková alokace</w:t>
            </w:r>
            <w:r w:rsidRPr="004513C5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 w:rsidRPr="004513C5"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v </w:t>
            </w:r>
            <w:r w:rsidRPr="004513C5">
              <w:rPr>
                <w:b/>
                <w:sz w:val="20"/>
                <w:szCs w:val="20"/>
              </w:rPr>
              <w:t>Kč)</w:t>
            </w:r>
          </w:p>
        </w:tc>
        <w:tc>
          <w:tcPr>
            <w:tcW w:w="2544" w:type="dxa"/>
            <w:vAlign w:val="center"/>
          </w:tcPr>
          <w:p w:rsidR="004513C5" w:rsidRDefault="008C12E6" w:rsidP="004513C5">
            <w:pPr>
              <w:jc w:val="center"/>
              <w:rPr>
                <w:b/>
                <w:sz w:val="20"/>
                <w:szCs w:val="20"/>
              </w:rPr>
            </w:pPr>
            <w:r w:rsidRPr="004513C5">
              <w:rPr>
                <w:b/>
                <w:sz w:val="20"/>
                <w:szCs w:val="20"/>
              </w:rPr>
              <w:t>Proplacená podpora (SFŽP)</w:t>
            </w:r>
          </w:p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513C5">
              <w:rPr>
                <w:b/>
                <w:sz w:val="20"/>
                <w:szCs w:val="20"/>
              </w:rPr>
              <w:t>v Kč)</w:t>
            </w:r>
          </w:p>
        </w:tc>
      </w:tr>
      <w:tr w:rsidR="007E5173" w:rsidTr="004513C5">
        <w:trPr>
          <w:trHeight w:val="452"/>
          <w:jc w:val="center"/>
        </w:trPr>
        <w:tc>
          <w:tcPr>
            <w:tcW w:w="70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</w:rPr>
            </w:pPr>
            <w:r w:rsidRPr="004513C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29" w:type="dxa"/>
            <w:vAlign w:val="center"/>
          </w:tcPr>
          <w:p w:rsidR="004513C5" w:rsidRPr="004513C5" w:rsidRDefault="008C12E6" w:rsidP="004513C5">
            <w:pPr>
              <w:jc w:val="center"/>
              <w:rPr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3.2.A</w:t>
            </w:r>
          </w:p>
        </w:tc>
        <w:tc>
          <w:tcPr>
            <w:tcW w:w="331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Ekologická likvidace autovraků</w:t>
            </w:r>
          </w:p>
        </w:tc>
        <w:tc>
          <w:tcPr>
            <w:tcW w:w="1559" w:type="dxa"/>
            <w:vAlign w:val="center"/>
          </w:tcPr>
          <w:p w:rsidR="004513C5" w:rsidRPr="004513C5" w:rsidRDefault="008C12E6" w:rsidP="004513C5">
            <w:pPr>
              <w:jc w:val="center"/>
              <w:rPr>
                <w:sz w:val="20"/>
                <w:szCs w:val="20"/>
              </w:rPr>
            </w:pPr>
            <w:r w:rsidRPr="004513C5">
              <w:rPr>
                <w:sz w:val="20"/>
                <w:szCs w:val="20"/>
              </w:rPr>
              <w:t>60 mil. Kč</w:t>
            </w:r>
          </w:p>
        </w:tc>
        <w:tc>
          <w:tcPr>
            <w:tcW w:w="2544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52 800</w:t>
            </w:r>
          </w:p>
        </w:tc>
      </w:tr>
      <w:tr w:rsidR="007E5173" w:rsidTr="004513C5">
        <w:trPr>
          <w:jc w:val="center"/>
        </w:trPr>
        <w:tc>
          <w:tcPr>
            <w:tcW w:w="70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29" w:type="dxa"/>
            <w:vAlign w:val="center"/>
          </w:tcPr>
          <w:p w:rsidR="004513C5" w:rsidRPr="004513C5" w:rsidRDefault="008C12E6" w:rsidP="004513C5">
            <w:pPr>
              <w:jc w:val="center"/>
              <w:rPr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3.2.A</w:t>
            </w:r>
          </w:p>
        </w:tc>
        <w:tc>
          <w:tcPr>
            <w:tcW w:w="331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Ekologická likvidace autovraků</w:t>
            </w:r>
          </w:p>
        </w:tc>
        <w:tc>
          <w:tcPr>
            <w:tcW w:w="155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50 mil. Kč</w:t>
            </w:r>
          </w:p>
        </w:tc>
        <w:tc>
          <w:tcPr>
            <w:tcW w:w="2544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21 675 900</w:t>
            </w:r>
          </w:p>
        </w:tc>
      </w:tr>
      <w:tr w:rsidR="007E5173" w:rsidTr="004513C5">
        <w:trPr>
          <w:trHeight w:val="429"/>
          <w:jc w:val="center"/>
        </w:trPr>
        <w:tc>
          <w:tcPr>
            <w:tcW w:w="70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29" w:type="dxa"/>
            <w:vAlign w:val="center"/>
          </w:tcPr>
          <w:p w:rsidR="004513C5" w:rsidRPr="004513C5" w:rsidRDefault="008C12E6" w:rsidP="004513C5">
            <w:pPr>
              <w:jc w:val="center"/>
              <w:rPr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3.2.A</w:t>
            </w:r>
          </w:p>
        </w:tc>
        <w:tc>
          <w:tcPr>
            <w:tcW w:w="331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Ekologická likvidace autovraků</w:t>
            </w:r>
          </w:p>
        </w:tc>
        <w:tc>
          <w:tcPr>
            <w:tcW w:w="1559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50 mil. Kč</w:t>
            </w:r>
          </w:p>
        </w:tc>
        <w:tc>
          <w:tcPr>
            <w:tcW w:w="2544" w:type="dxa"/>
            <w:vAlign w:val="center"/>
          </w:tcPr>
          <w:p w:rsidR="004513C5" w:rsidRPr="004513C5" w:rsidRDefault="008C12E6" w:rsidP="004513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13C5">
              <w:rPr>
                <w:sz w:val="20"/>
                <w:szCs w:val="20"/>
              </w:rPr>
              <w:t>32 600 584</w:t>
            </w:r>
          </w:p>
        </w:tc>
      </w:tr>
    </w:tbl>
    <w:p w:rsidR="004513C5" w:rsidRPr="00130EAA" w:rsidRDefault="008C12E6" w:rsidP="00130EAA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130EAA">
        <w:rPr>
          <w:rFonts w:eastAsia="Times New Roman" w:cs="Arial"/>
          <w:i/>
          <w:sz w:val="18"/>
          <w:szCs w:val="18"/>
          <w:lang w:eastAsia="cs-CZ"/>
        </w:rPr>
        <w:t>Zdroj: MŽP, SFŽP 2021</w:t>
      </w:r>
    </w:p>
    <w:p w:rsidR="00ED0347" w:rsidRDefault="00ED0347">
      <w:pPr>
        <w:spacing w:after="200" w:line="276" w:lineRule="auto"/>
        <w:jc w:val="left"/>
      </w:pPr>
    </w:p>
    <w:p w:rsidR="000314BF" w:rsidRDefault="000314BF">
      <w:pPr>
        <w:spacing w:after="200" w:line="276" w:lineRule="auto"/>
        <w:jc w:val="left"/>
      </w:pPr>
    </w:p>
    <w:p w:rsidR="000314BF" w:rsidRDefault="000314BF">
      <w:pPr>
        <w:spacing w:after="200" w:line="276" w:lineRule="auto"/>
        <w:jc w:val="left"/>
      </w:pPr>
    </w:p>
    <w:p w:rsidR="000314BF" w:rsidRDefault="000314BF">
      <w:pPr>
        <w:spacing w:after="200" w:line="276" w:lineRule="auto"/>
        <w:jc w:val="left"/>
      </w:pPr>
    </w:p>
    <w:p w:rsidR="00AC5815" w:rsidRDefault="00AC5815">
      <w:pPr>
        <w:spacing w:after="200" w:line="276" w:lineRule="auto"/>
        <w:jc w:val="left"/>
      </w:pPr>
    </w:p>
    <w:p w:rsidR="00DB3B2F" w:rsidRPr="000314BF" w:rsidRDefault="008C12E6" w:rsidP="005673D8">
      <w:pPr>
        <w:spacing w:after="60" w:line="276" w:lineRule="auto"/>
        <w:rPr>
          <w:b/>
          <w:sz w:val="26"/>
          <w:szCs w:val="26"/>
          <w:u w:val="single"/>
        </w:rPr>
      </w:pPr>
      <w:r w:rsidRPr="000314BF">
        <w:rPr>
          <w:b/>
          <w:sz w:val="26"/>
          <w:szCs w:val="26"/>
          <w:u w:val="single"/>
        </w:rPr>
        <w:lastRenderedPageBreak/>
        <w:t xml:space="preserve">Operační program </w:t>
      </w:r>
      <w:r w:rsidRPr="000314BF">
        <w:rPr>
          <w:b/>
          <w:bCs/>
          <w:sz w:val="26"/>
          <w:szCs w:val="26"/>
          <w:u w:val="single"/>
        </w:rPr>
        <w:t>Životní prostředí</w:t>
      </w:r>
      <w:r w:rsidR="001D3953" w:rsidRPr="000314BF">
        <w:rPr>
          <w:b/>
          <w:bCs/>
          <w:sz w:val="26"/>
          <w:szCs w:val="26"/>
          <w:u w:val="single"/>
        </w:rPr>
        <w:t xml:space="preserve"> (OPŽP)</w:t>
      </w:r>
    </w:p>
    <w:p w:rsidR="00914917" w:rsidRPr="000314BF" w:rsidRDefault="008C12E6" w:rsidP="00AC5815">
      <w:pPr>
        <w:spacing w:after="120" w:line="276" w:lineRule="auto"/>
        <w:rPr>
          <w:rFonts w:cs="Arial"/>
          <w:color w:val="000000"/>
          <w:szCs w:val="24"/>
        </w:rPr>
      </w:pPr>
      <w:r w:rsidRPr="000314BF">
        <w:rPr>
          <w:bCs/>
        </w:rPr>
        <w:t xml:space="preserve">K naplňování opatření a cílů POH ČR v období </w:t>
      </w:r>
      <w:r w:rsidR="002A71AE" w:rsidRPr="000314BF">
        <w:rPr>
          <w:bCs/>
          <w:szCs w:val="24"/>
        </w:rPr>
        <w:t>2015–2020</w:t>
      </w:r>
      <w:r w:rsidRPr="000314BF">
        <w:rPr>
          <w:bCs/>
          <w:szCs w:val="24"/>
        </w:rPr>
        <w:t xml:space="preserve"> byl využit</w:t>
      </w:r>
      <w:r w:rsidRPr="000314BF">
        <w:rPr>
          <w:rFonts w:cs="Arial"/>
          <w:color w:val="000000"/>
          <w:szCs w:val="24"/>
        </w:rPr>
        <w:t xml:space="preserve"> Operační program Životní prostředí.</w:t>
      </w:r>
    </w:p>
    <w:p w:rsidR="00AC5815" w:rsidRPr="000314BF" w:rsidRDefault="008C12E6" w:rsidP="00AC5815">
      <w:pPr>
        <w:spacing w:after="200" w:line="276" w:lineRule="auto"/>
      </w:pPr>
      <w:r w:rsidRPr="000314BF">
        <w:t>Pro výstavbu, modernizaci a intenzifikaci sítě zařízení k nakládání s odpady v ČR byly klíčové investice prostřednictví finanční podpory z operačních prog</w:t>
      </w:r>
      <w:r w:rsidRPr="000314BF">
        <w:t xml:space="preserve">ramů OPŽP 2007-2013 a OPŽP </w:t>
      </w:r>
      <w:r w:rsidR="002A71AE" w:rsidRPr="000314BF">
        <w:t>2014</w:t>
      </w:r>
      <w:r w:rsidR="002A71AE">
        <w:t>–2020</w:t>
      </w:r>
      <w:r w:rsidRPr="000314BF">
        <w:t>, kdy v rámci vyhlašovaných dotačních výzev bylo možné podporovat opatření k prevenci vzniku odpadů a dále pak zařízení na sběr, třídění, úpravu, materiálové a energ</w:t>
      </w:r>
      <w:r w:rsidR="00E63784">
        <w:t>et</w:t>
      </w:r>
      <w:r w:rsidRPr="000314BF">
        <w:t>ické využívání odpadů.</w:t>
      </w:r>
    </w:p>
    <w:p w:rsidR="00AC5815" w:rsidRPr="000314BF" w:rsidRDefault="008C12E6" w:rsidP="00AC5815">
      <w:pPr>
        <w:spacing w:after="60" w:line="276" w:lineRule="auto"/>
        <w:rPr>
          <w:b/>
          <w:bCs/>
          <w:sz w:val="26"/>
          <w:szCs w:val="26"/>
          <w:u w:val="single"/>
        </w:rPr>
      </w:pPr>
      <w:r w:rsidRPr="000314BF">
        <w:rPr>
          <w:b/>
          <w:bCs/>
          <w:sz w:val="26"/>
          <w:szCs w:val="26"/>
          <w:u w:val="single"/>
        </w:rPr>
        <w:t>Operační program Životní prost</w:t>
      </w:r>
      <w:r w:rsidRPr="000314BF">
        <w:rPr>
          <w:b/>
          <w:bCs/>
          <w:sz w:val="26"/>
          <w:szCs w:val="26"/>
          <w:u w:val="single"/>
        </w:rPr>
        <w:t xml:space="preserve">ředí </w:t>
      </w:r>
      <w:r w:rsidR="002A71AE" w:rsidRPr="000314BF">
        <w:rPr>
          <w:b/>
          <w:bCs/>
          <w:sz w:val="26"/>
          <w:szCs w:val="26"/>
          <w:u w:val="single"/>
        </w:rPr>
        <w:t>2007–2013</w:t>
      </w:r>
      <w:r w:rsidRPr="000314BF">
        <w:rPr>
          <w:b/>
          <w:bCs/>
          <w:sz w:val="26"/>
          <w:szCs w:val="26"/>
          <w:u w:val="single"/>
        </w:rPr>
        <w:t xml:space="preserve"> </w:t>
      </w:r>
    </w:p>
    <w:p w:rsidR="00AC5815" w:rsidRPr="000314BF" w:rsidRDefault="008C12E6" w:rsidP="00AC5815">
      <w:pPr>
        <w:pStyle w:val="Default"/>
        <w:spacing w:after="60" w:line="276" w:lineRule="auto"/>
        <w:jc w:val="both"/>
        <w:rPr>
          <w:rFonts w:asciiTheme="minorHAnsi" w:hAnsiTheme="minorHAnsi"/>
          <w:color w:val="auto"/>
        </w:rPr>
      </w:pPr>
      <w:r w:rsidRPr="000314BF">
        <w:rPr>
          <w:rFonts w:asciiTheme="minorHAnsi" w:hAnsiTheme="minorHAnsi"/>
          <w:color w:val="auto"/>
        </w:rPr>
        <w:t xml:space="preserve">V programovém období OPŽP </w:t>
      </w:r>
      <w:r w:rsidR="002A71AE" w:rsidRPr="000314BF">
        <w:rPr>
          <w:rFonts w:asciiTheme="minorHAnsi" w:hAnsiTheme="minorHAnsi"/>
          <w:color w:val="auto"/>
        </w:rPr>
        <w:t>2007–2013</w:t>
      </w:r>
      <w:r w:rsidRPr="000314BF">
        <w:rPr>
          <w:rFonts w:asciiTheme="minorHAnsi" w:hAnsiTheme="minorHAnsi"/>
          <w:color w:val="auto"/>
        </w:rPr>
        <w:t xml:space="preserve"> byl rozvoj infrastruktury odpadového hospodářství významně podporován v prioritní ose 4 – Zkvalitnění nakládání s odpady a odstraňování starých ekologických zátěží, v rámci oblasti podpory 4. 1 </w:t>
      </w:r>
      <w:r w:rsidR="002A71AE" w:rsidRPr="000314BF">
        <w:rPr>
          <w:rFonts w:asciiTheme="minorHAnsi" w:hAnsiTheme="minorHAnsi"/>
          <w:color w:val="auto"/>
        </w:rPr>
        <w:t>- zaměřené</w:t>
      </w:r>
      <w:r w:rsidRPr="000314BF">
        <w:rPr>
          <w:rFonts w:asciiTheme="minorHAnsi" w:hAnsiTheme="minorHAnsi"/>
          <w:color w:val="auto"/>
        </w:rPr>
        <w:t xml:space="preserve"> na podporu „Zkvalitnění nakládání s odpady“. Priority podpory jednoznačně vycházely ze schváleného Plánu odpadového hospodářství České republiky a cílem tedy bylo podporovat projekty vedoucí k</w:t>
      </w:r>
      <w:r w:rsidR="002A71AE">
        <w:rPr>
          <w:rFonts w:asciiTheme="minorHAnsi" w:hAnsiTheme="minorHAnsi"/>
          <w:color w:val="auto"/>
        </w:rPr>
        <w:t> </w:t>
      </w:r>
      <w:r w:rsidRPr="000314BF">
        <w:rPr>
          <w:rFonts w:asciiTheme="minorHAnsi" w:hAnsiTheme="minorHAnsi"/>
          <w:color w:val="auto"/>
        </w:rPr>
        <w:t>snížení produkce ostatních i nebezpečných odpadů, zvýšení podí</w:t>
      </w:r>
      <w:r w:rsidRPr="000314BF">
        <w:rPr>
          <w:rFonts w:asciiTheme="minorHAnsi" w:hAnsiTheme="minorHAnsi"/>
          <w:color w:val="auto"/>
        </w:rPr>
        <w:t>lu využívaných odpadů a snižování množství odstraňovaných odpadů. Vyhlášeno bylo celkem 13 výzev.</w:t>
      </w:r>
    </w:p>
    <w:p w:rsidR="00AC5815" w:rsidRPr="000314BF" w:rsidRDefault="00AC5815" w:rsidP="00AC581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AC5815" w:rsidRPr="000314BF" w:rsidRDefault="008C12E6" w:rsidP="00AC5815">
      <w:pPr>
        <w:pStyle w:val="Default"/>
        <w:spacing w:after="60"/>
        <w:rPr>
          <w:rFonts w:asciiTheme="minorHAnsi" w:hAnsiTheme="minorHAnsi"/>
          <w:b/>
        </w:rPr>
      </w:pPr>
      <w:r w:rsidRPr="000314BF">
        <w:rPr>
          <w:rFonts w:asciiTheme="minorHAnsi" w:eastAsia="Times New Roman" w:hAnsiTheme="minorHAnsi"/>
          <w:b/>
          <w:lang w:eastAsia="cs-CZ"/>
        </w:rPr>
        <w:t xml:space="preserve">Tabulka </w:t>
      </w:r>
      <w:r w:rsidR="005E7AD6">
        <w:rPr>
          <w:rFonts w:asciiTheme="minorHAnsi" w:eastAsia="Times New Roman" w:hAnsiTheme="minorHAnsi"/>
          <w:b/>
          <w:lang w:eastAsia="cs-CZ"/>
        </w:rPr>
        <w:t>6</w:t>
      </w:r>
      <w:r w:rsidRPr="000314BF">
        <w:rPr>
          <w:rFonts w:asciiTheme="minorHAnsi" w:eastAsia="Times New Roman" w:hAnsiTheme="minorHAnsi"/>
          <w:b/>
          <w:lang w:eastAsia="cs-CZ"/>
        </w:rPr>
        <w:t xml:space="preserve">: </w:t>
      </w:r>
      <w:r w:rsidRPr="000314BF">
        <w:rPr>
          <w:rFonts w:asciiTheme="minorHAnsi" w:hAnsiTheme="minorHAnsi"/>
          <w:b/>
        </w:rPr>
        <w:t xml:space="preserve">Finanční alokace příspěvku EU v rámci </w:t>
      </w:r>
      <w:r w:rsidRPr="000314BF">
        <w:rPr>
          <w:rFonts w:asciiTheme="minorHAnsi" w:eastAsia="Times New Roman" w:hAnsiTheme="minorHAnsi"/>
          <w:b/>
          <w:lang w:eastAsia="cs-CZ"/>
        </w:rPr>
        <w:t>Prioritní osy 4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543"/>
        <w:gridCol w:w="992"/>
        <w:gridCol w:w="1300"/>
        <w:gridCol w:w="1813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Oblast podpory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Název oblasti podpory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Fond EU</w:t>
            </w:r>
          </w:p>
        </w:tc>
        <w:tc>
          <w:tcPr>
            <w:tcW w:w="1300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Příspěvek EU v (EUR)</w:t>
            </w:r>
          </w:p>
        </w:tc>
        <w:tc>
          <w:tcPr>
            <w:tcW w:w="1813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Celkové způsobilé výdaje v</w:t>
            </w:r>
            <w:r w:rsidRPr="000314BF">
              <w:rPr>
                <w:rFonts w:asciiTheme="minorHAnsi" w:hAnsiTheme="minorHAnsi"/>
                <w:sz w:val="20"/>
                <w:szCs w:val="20"/>
              </w:rPr>
              <w:t xml:space="preserve"> (EUR)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b w:val="0"/>
                <w:sz w:val="20"/>
                <w:szCs w:val="20"/>
              </w:rPr>
              <w:t>4.1</w:t>
            </w:r>
          </w:p>
        </w:tc>
        <w:tc>
          <w:tcPr>
            <w:tcW w:w="3543" w:type="dxa"/>
            <w:vAlign w:val="center"/>
          </w:tcPr>
          <w:p w:rsidR="00AC5815" w:rsidRPr="000314BF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Zkvalitnění nakládání s odpady</w:t>
            </w:r>
          </w:p>
        </w:tc>
        <w:tc>
          <w:tcPr>
            <w:tcW w:w="992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FS</w:t>
            </w:r>
          </w:p>
        </w:tc>
        <w:tc>
          <w:tcPr>
            <w:tcW w:w="1300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515 495 562</w:t>
            </w:r>
          </w:p>
        </w:tc>
        <w:tc>
          <w:tcPr>
            <w:tcW w:w="1813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606 465 367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b w:val="0"/>
                <w:sz w:val="20"/>
                <w:szCs w:val="20"/>
              </w:rPr>
              <w:t>4.2</w:t>
            </w:r>
          </w:p>
        </w:tc>
        <w:tc>
          <w:tcPr>
            <w:tcW w:w="3543" w:type="dxa"/>
            <w:vAlign w:val="center"/>
          </w:tcPr>
          <w:p w:rsidR="00AC5815" w:rsidRPr="000314BF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Odstraňování starých ekologických zátěží</w:t>
            </w:r>
          </w:p>
        </w:tc>
        <w:tc>
          <w:tcPr>
            <w:tcW w:w="992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FS</w:t>
            </w:r>
          </w:p>
        </w:tc>
        <w:tc>
          <w:tcPr>
            <w:tcW w:w="1300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197 804 676</w:t>
            </w:r>
          </w:p>
        </w:tc>
        <w:tc>
          <w:tcPr>
            <w:tcW w:w="1813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232 711 384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AC5815" w:rsidRPr="000314BF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Zkvalitnění nakládání s odpady a odstraňování starých ekologických zátěží</w:t>
            </w:r>
          </w:p>
        </w:tc>
        <w:tc>
          <w:tcPr>
            <w:tcW w:w="992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FS</w:t>
            </w:r>
          </w:p>
        </w:tc>
        <w:tc>
          <w:tcPr>
            <w:tcW w:w="1300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713 300 238</w:t>
            </w:r>
          </w:p>
        </w:tc>
        <w:tc>
          <w:tcPr>
            <w:tcW w:w="1813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839 176 751</w:t>
            </w:r>
          </w:p>
        </w:tc>
      </w:tr>
    </w:tbl>
    <w:p w:rsidR="00AC5815" w:rsidRPr="000314BF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0314BF">
        <w:rPr>
          <w:rFonts w:eastAsia="Times New Roman" w:cs="Arial"/>
          <w:i/>
          <w:sz w:val="18"/>
          <w:szCs w:val="18"/>
          <w:lang w:eastAsia="cs-CZ"/>
        </w:rPr>
        <w:t xml:space="preserve">Zdroj: </w:t>
      </w:r>
      <w:r w:rsidRPr="000314BF">
        <w:rPr>
          <w:rFonts w:eastAsia="Times New Roman" w:cs="Arial"/>
          <w:i/>
          <w:sz w:val="18"/>
          <w:szCs w:val="18"/>
          <w:lang w:eastAsia="cs-CZ"/>
        </w:rPr>
        <w:t>MŽP, SFŽP 2017</w:t>
      </w:r>
    </w:p>
    <w:p w:rsidR="00AC5815" w:rsidRPr="000314BF" w:rsidRDefault="00AC5815" w:rsidP="00AC5815">
      <w:pPr>
        <w:spacing w:after="120"/>
      </w:pPr>
    </w:p>
    <w:p w:rsidR="00AC5815" w:rsidRPr="000314BF" w:rsidRDefault="008C12E6" w:rsidP="00AC5815">
      <w:pPr>
        <w:pStyle w:val="Default"/>
        <w:spacing w:after="60"/>
        <w:rPr>
          <w:rFonts w:asciiTheme="minorHAnsi" w:eastAsia="Times New Roman" w:hAnsiTheme="minorHAnsi"/>
          <w:b/>
          <w:lang w:eastAsia="cs-CZ"/>
        </w:rPr>
      </w:pPr>
      <w:r w:rsidRPr="000314BF">
        <w:rPr>
          <w:rFonts w:asciiTheme="minorHAnsi" w:eastAsia="Times New Roman" w:hAnsiTheme="minorHAnsi"/>
          <w:b/>
          <w:lang w:eastAsia="cs-CZ"/>
        </w:rPr>
        <w:t xml:space="preserve">Tabulka </w:t>
      </w:r>
      <w:r w:rsidR="005E7AD6">
        <w:rPr>
          <w:rFonts w:asciiTheme="minorHAnsi" w:eastAsia="Times New Roman" w:hAnsiTheme="minorHAnsi"/>
          <w:b/>
          <w:lang w:eastAsia="cs-CZ"/>
        </w:rPr>
        <w:t>7</w:t>
      </w:r>
      <w:r w:rsidRPr="000314BF">
        <w:rPr>
          <w:rFonts w:asciiTheme="minorHAnsi" w:eastAsia="Times New Roman" w:hAnsiTheme="minorHAnsi"/>
          <w:b/>
          <w:lang w:eastAsia="cs-CZ"/>
        </w:rPr>
        <w:t>: Finanční realizace Prioritní osy 4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Oblast podpory</w:t>
            </w:r>
          </w:p>
        </w:tc>
        <w:tc>
          <w:tcPr>
            <w:tcW w:w="2264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Celková alokace v (mil. EUR)</w:t>
            </w:r>
          </w:p>
        </w:tc>
        <w:tc>
          <w:tcPr>
            <w:tcW w:w="2266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Počet podpořených projektů</w:t>
            </w:r>
          </w:p>
        </w:tc>
        <w:tc>
          <w:tcPr>
            <w:tcW w:w="2266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Proplacené prostředky příjemcům v (mil. EUR)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b w:val="0"/>
                <w:sz w:val="20"/>
                <w:szCs w:val="20"/>
              </w:rPr>
              <w:t>4.1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606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4 044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718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b w:val="0"/>
                <w:sz w:val="20"/>
                <w:szCs w:val="20"/>
              </w:rPr>
              <w:t>4.2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233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234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839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4 227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952</w:t>
            </w:r>
          </w:p>
        </w:tc>
      </w:tr>
    </w:tbl>
    <w:p w:rsidR="00AC5815" w:rsidRPr="000314BF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0314BF">
        <w:rPr>
          <w:rFonts w:eastAsia="Times New Roman" w:cs="Arial"/>
          <w:i/>
          <w:sz w:val="18"/>
          <w:szCs w:val="18"/>
          <w:lang w:eastAsia="cs-CZ"/>
        </w:rPr>
        <w:t>Zdroj: MŽP, SFŽP 2017</w:t>
      </w:r>
    </w:p>
    <w:p w:rsidR="00AC5815" w:rsidRPr="000314BF" w:rsidRDefault="00AC5815" w:rsidP="00AC5815">
      <w:pPr>
        <w:spacing w:after="120"/>
      </w:pPr>
    </w:p>
    <w:p w:rsidR="00AC5815" w:rsidRPr="000314BF" w:rsidRDefault="008C12E6" w:rsidP="00AC5815">
      <w:pPr>
        <w:pStyle w:val="Default"/>
        <w:spacing w:after="60"/>
        <w:rPr>
          <w:rFonts w:asciiTheme="minorHAnsi" w:hAnsiTheme="minorHAnsi"/>
          <w:b/>
        </w:rPr>
      </w:pPr>
      <w:r w:rsidRPr="000314BF">
        <w:rPr>
          <w:rFonts w:asciiTheme="minorHAnsi" w:hAnsiTheme="minorHAnsi"/>
          <w:b/>
        </w:rPr>
        <w:t xml:space="preserve">Tabulka </w:t>
      </w:r>
      <w:r w:rsidR="005E7AD6">
        <w:rPr>
          <w:rFonts w:asciiTheme="minorHAnsi" w:hAnsiTheme="minorHAnsi"/>
          <w:b/>
        </w:rPr>
        <w:t>8</w:t>
      </w:r>
      <w:r w:rsidRPr="000314BF">
        <w:rPr>
          <w:rFonts w:asciiTheme="minorHAnsi" w:hAnsiTheme="minorHAnsi"/>
          <w:b/>
        </w:rPr>
        <w:t>: Vypsané výzvy Prioritní osy 4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Číslo výzvy</w:t>
            </w:r>
          </w:p>
        </w:tc>
        <w:tc>
          <w:tcPr>
            <w:tcW w:w="2264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Příjem žádostí</w:t>
            </w:r>
          </w:p>
        </w:tc>
        <w:tc>
          <w:tcPr>
            <w:tcW w:w="2266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Oblast podpory</w:t>
            </w:r>
          </w:p>
        </w:tc>
        <w:tc>
          <w:tcPr>
            <w:tcW w:w="2266" w:type="dxa"/>
            <w:tcBorders>
              <w:bottom w:val="none" w:sz="0" w:space="0" w:color="auto"/>
            </w:tcBorders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Alokace (v EUR)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3. 9. 2007 – 26. 10. 2007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Bez alokace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11. 8. 2008 – 10. 10. 2008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Bez alokace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3. 8. 2009 – 30. 9. 2009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110 926 234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4.</w:t>
            </w:r>
            <w:r w:rsidRPr="000314BF">
              <w:rPr>
                <w:rFonts w:asciiTheme="minorHAnsi" w:hAnsiTheme="minorHAnsi"/>
                <w:sz w:val="20"/>
                <w:szCs w:val="20"/>
              </w:rPr>
              <w:t xml:space="preserve"> 1. 2010 – 30. 6. 2011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221 852 468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64" w:type="dxa"/>
            <w:vAlign w:val="center"/>
          </w:tcPr>
          <w:p w:rsidR="00AC5815" w:rsidRPr="000314BF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3. 5. 2010 – 2. 6. 2010</w:t>
            </w:r>
          </w:p>
        </w:tc>
        <w:tc>
          <w:tcPr>
            <w:tcW w:w="2266" w:type="dxa"/>
            <w:vAlign w:val="center"/>
          </w:tcPr>
          <w:p w:rsidR="00AC5815" w:rsidRPr="000314BF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314BF">
              <w:rPr>
                <w:rFonts w:asciiTheme="minorHAnsi" w:hAnsiTheme="minorHAnsi"/>
                <w:sz w:val="20"/>
                <w:szCs w:val="20"/>
              </w:rPr>
              <w:t>73 950 823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16. 5. 2011 – 15. 7. 2011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92 438 528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1. 8. 2011 – 30. 11. 2011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51 765 576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16. 1. 2012 – 13. 2. 2012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14 790 165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20. 7. 2012– 20. 9. 2012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55 463 117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14. 3. 2013 – 12. 4. 2013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Bez alokace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25. 9. 2013 – 15. 1. 2014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Bez alokace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5. 3. 2014 – 15. 4. 2014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4.1; 4.2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136 809 022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22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2. 2. 2015 – 19. 3. 2015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2266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64 706 970</w:t>
            </w:r>
          </w:p>
        </w:tc>
      </w:tr>
    </w:tbl>
    <w:p w:rsidR="00AC5815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6718ED">
        <w:rPr>
          <w:rFonts w:eastAsia="Times New Roman" w:cs="Arial"/>
          <w:i/>
          <w:sz w:val="18"/>
          <w:szCs w:val="18"/>
          <w:lang w:eastAsia="cs-CZ"/>
        </w:rPr>
        <w:t>Zdroj: MŽP, SFŽP 2017</w:t>
      </w:r>
    </w:p>
    <w:p w:rsidR="00AC5815" w:rsidRDefault="00AC5815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</w:p>
    <w:p w:rsidR="00AC5815" w:rsidRDefault="00AC5815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</w:p>
    <w:p w:rsidR="00AC5815" w:rsidRPr="00E30B89" w:rsidRDefault="008C12E6" w:rsidP="00AC5815">
      <w:pPr>
        <w:spacing w:line="276" w:lineRule="auto"/>
        <w:jc w:val="left"/>
        <w:rPr>
          <w:rFonts w:eastAsia="Calibri" w:cs="Verdana"/>
          <w:color w:val="000000"/>
          <w:szCs w:val="24"/>
        </w:rPr>
      </w:pPr>
      <w:r w:rsidRPr="000314BF">
        <w:rPr>
          <w:b/>
        </w:rPr>
        <w:t xml:space="preserve">Tabulka </w:t>
      </w:r>
      <w:r w:rsidR="005E7AD6">
        <w:rPr>
          <w:b/>
        </w:rPr>
        <w:t>9</w:t>
      </w:r>
      <w:r w:rsidRPr="000314BF">
        <w:rPr>
          <w:b/>
        </w:rPr>
        <w:t>: Podpořené</w:t>
      </w:r>
      <w:r w:rsidRPr="000314BF">
        <w:rPr>
          <w:b/>
        </w:rPr>
        <w:t xml:space="preserve"> projekty v rámci OP 4.1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none" w:sz="0" w:space="0" w:color="auto"/>
            </w:tcBorders>
            <w:vAlign w:val="center"/>
          </w:tcPr>
          <w:p w:rsidR="00AC5815" w:rsidRPr="00FC0AD9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Kategorie projektu</w:t>
            </w:r>
          </w:p>
        </w:tc>
        <w:tc>
          <w:tcPr>
            <w:tcW w:w="4530" w:type="dxa"/>
            <w:tcBorders>
              <w:bottom w:val="none" w:sz="0" w:space="0" w:color="auto"/>
            </w:tcBorders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Počet podpořených projektů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Sběrné dvory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456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Kompostárny a bioplynové stanice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603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Systémy odděleného sběru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2 325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Rekultivace skládek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Překládací stanice odpadů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Ostatní zařízení na zpracování odpadů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313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Projekty kombinující výše uvedené projekty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252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Celkem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C0AD9">
              <w:rPr>
                <w:rFonts w:asciiTheme="minorHAnsi" w:hAnsiTheme="minorHAnsi"/>
                <w:b/>
                <w:sz w:val="20"/>
                <w:szCs w:val="20"/>
              </w:rPr>
              <w:t>044</w:t>
            </w:r>
          </w:p>
        </w:tc>
      </w:tr>
    </w:tbl>
    <w:p w:rsidR="00AC5815" w:rsidRPr="006718ED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6718ED">
        <w:rPr>
          <w:rFonts w:eastAsia="Times New Roman" w:cs="Arial"/>
          <w:i/>
          <w:sz w:val="18"/>
          <w:szCs w:val="18"/>
          <w:lang w:eastAsia="cs-CZ"/>
        </w:rPr>
        <w:t>Zdroj: MŽP, SFŽP 2017</w:t>
      </w:r>
    </w:p>
    <w:p w:rsidR="00AC5815" w:rsidRPr="005673D8" w:rsidRDefault="00AC5815" w:rsidP="00AC5815">
      <w:pPr>
        <w:pStyle w:val="Default"/>
        <w:spacing w:after="120"/>
        <w:rPr>
          <w:rFonts w:asciiTheme="minorHAnsi" w:hAnsiTheme="minorHAnsi"/>
        </w:rPr>
      </w:pPr>
    </w:p>
    <w:p w:rsidR="00AC5815" w:rsidRPr="00FC0AD9" w:rsidRDefault="008C12E6" w:rsidP="00AC5815">
      <w:pPr>
        <w:pStyle w:val="Default"/>
        <w:spacing w:after="60"/>
        <w:rPr>
          <w:rFonts w:asciiTheme="minorHAnsi" w:hAnsiTheme="minorHAnsi"/>
          <w:b/>
        </w:rPr>
      </w:pPr>
      <w:r w:rsidRPr="000314BF">
        <w:rPr>
          <w:rFonts w:asciiTheme="minorHAnsi" w:hAnsiTheme="minorHAnsi"/>
          <w:b/>
        </w:rPr>
        <w:t xml:space="preserve">Tabulka </w:t>
      </w:r>
      <w:r w:rsidR="005E7AD6">
        <w:rPr>
          <w:rFonts w:asciiTheme="minorHAnsi" w:hAnsiTheme="minorHAnsi"/>
          <w:b/>
        </w:rPr>
        <w:t>10</w:t>
      </w:r>
      <w:r w:rsidRPr="000314BF">
        <w:rPr>
          <w:rFonts w:asciiTheme="minorHAnsi" w:hAnsiTheme="minorHAnsi"/>
          <w:b/>
        </w:rPr>
        <w:t>: Podpořené projekty v rámci OP 4.2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none" w:sz="0" w:space="0" w:color="auto"/>
            </w:tcBorders>
            <w:vAlign w:val="center"/>
          </w:tcPr>
          <w:p w:rsidR="00AC5815" w:rsidRPr="00FC0AD9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Kategorie projektu</w:t>
            </w:r>
          </w:p>
        </w:tc>
        <w:tc>
          <w:tcPr>
            <w:tcW w:w="4530" w:type="dxa"/>
            <w:tcBorders>
              <w:bottom w:val="none" w:sz="0" w:space="0" w:color="auto"/>
            </w:tcBorders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Počet podpořených projektů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Inventarizace starých ekologických zátěží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 xml:space="preserve">Analýza rizik starých </w:t>
            </w: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ekologických zátěží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 w:val="0"/>
                <w:sz w:val="20"/>
                <w:szCs w:val="20"/>
              </w:rPr>
              <w:t>Sanace starých ekologických zátěží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C0AD9">
              <w:rPr>
                <w:rFonts w:asciiTheme="minorHAnsi" w:hAnsiTheme="minorHAnsi"/>
                <w:sz w:val="20"/>
                <w:szCs w:val="20"/>
              </w:rPr>
              <w:t>Celkem</w:t>
            </w:r>
          </w:p>
        </w:tc>
        <w:tc>
          <w:tcPr>
            <w:tcW w:w="4530" w:type="dxa"/>
            <w:vAlign w:val="center"/>
          </w:tcPr>
          <w:p w:rsidR="00AC5815" w:rsidRPr="00FC0AD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AD9">
              <w:rPr>
                <w:rFonts w:asciiTheme="minorHAnsi" w:hAnsiTheme="minorHAnsi"/>
                <w:b/>
                <w:sz w:val="20"/>
                <w:szCs w:val="20"/>
              </w:rPr>
              <w:t>183</w:t>
            </w:r>
          </w:p>
        </w:tc>
      </w:tr>
    </w:tbl>
    <w:p w:rsidR="00AC5815" w:rsidRDefault="008C12E6" w:rsidP="00AC5815">
      <w:pPr>
        <w:autoSpaceDE w:val="0"/>
        <w:autoSpaceDN w:val="0"/>
        <w:adjustRightInd w:val="0"/>
        <w:spacing w:after="120"/>
        <w:rPr>
          <w:rFonts w:eastAsia="Times New Roman" w:cs="Arial"/>
          <w:i/>
          <w:sz w:val="18"/>
          <w:szCs w:val="18"/>
          <w:lang w:eastAsia="cs-CZ"/>
        </w:rPr>
      </w:pPr>
      <w:r w:rsidRPr="006718ED">
        <w:rPr>
          <w:rFonts w:eastAsia="Times New Roman" w:cs="Arial"/>
          <w:i/>
          <w:sz w:val="18"/>
          <w:szCs w:val="18"/>
          <w:lang w:eastAsia="cs-CZ"/>
        </w:rPr>
        <w:t>Zdroj: MŽP, SFŽP 2017</w:t>
      </w:r>
    </w:p>
    <w:p w:rsidR="00AC5815" w:rsidRPr="00914917" w:rsidRDefault="00AC5815" w:rsidP="00AC5815">
      <w:pPr>
        <w:autoSpaceDE w:val="0"/>
        <w:autoSpaceDN w:val="0"/>
        <w:adjustRightInd w:val="0"/>
        <w:spacing w:after="240"/>
        <w:rPr>
          <w:rFonts w:eastAsia="Times New Roman" w:cs="Arial"/>
          <w:i/>
          <w:szCs w:val="24"/>
          <w:lang w:eastAsia="cs-CZ"/>
        </w:rPr>
      </w:pPr>
    </w:p>
    <w:p w:rsidR="00AC5815" w:rsidRPr="000314BF" w:rsidRDefault="008C12E6" w:rsidP="00AC5815">
      <w:pPr>
        <w:spacing w:after="60" w:line="276" w:lineRule="auto"/>
        <w:rPr>
          <w:b/>
          <w:bCs/>
          <w:sz w:val="26"/>
          <w:szCs w:val="26"/>
          <w:u w:val="single"/>
        </w:rPr>
      </w:pPr>
      <w:r w:rsidRPr="000314BF">
        <w:rPr>
          <w:b/>
          <w:bCs/>
          <w:sz w:val="26"/>
          <w:szCs w:val="26"/>
          <w:u w:val="single"/>
        </w:rPr>
        <w:t xml:space="preserve">Operační program Životní prostředí </w:t>
      </w:r>
      <w:r w:rsidR="002A71AE" w:rsidRPr="000314BF">
        <w:rPr>
          <w:b/>
          <w:bCs/>
          <w:sz w:val="26"/>
          <w:szCs w:val="26"/>
          <w:u w:val="single"/>
        </w:rPr>
        <w:t>2014–2020</w:t>
      </w:r>
      <w:r w:rsidRPr="000314BF">
        <w:rPr>
          <w:b/>
          <w:bCs/>
          <w:sz w:val="26"/>
          <w:szCs w:val="26"/>
          <w:u w:val="single"/>
        </w:rPr>
        <w:t xml:space="preserve"> </w:t>
      </w:r>
    </w:p>
    <w:p w:rsidR="00AC5815" w:rsidRPr="000314BF" w:rsidRDefault="008C12E6" w:rsidP="00AC5815">
      <w:pPr>
        <w:spacing w:after="120" w:line="276" w:lineRule="auto"/>
      </w:pPr>
      <w:r w:rsidRPr="000314BF">
        <w:t xml:space="preserve">V navazujícím programovém období OPŽP </w:t>
      </w:r>
      <w:r w:rsidR="002A71AE" w:rsidRPr="000314BF">
        <w:t>2014–2020</w:t>
      </w:r>
      <w:r w:rsidRPr="000314BF">
        <w:t xml:space="preserve"> pokračovala finanční podpora projektů v oblasti odpadového a oběhového hospodářství v prioritní ose 3: Odpady a materiálové toky, ekologické zátěže a rizika. V rámci jednotlivých specifických cílů (SC) byly podporovány aktivity:</w:t>
      </w:r>
    </w:p>
    <w:p w:rsidR="00AC5815" w:rsidRPr="000314BF" w:rsidRDefault="008C12E6" w:rsidP="00AC5815">
      <w:pPr>
        <w:spacing w:line="276" w:lineRule="auto"/>
        <w:rPr>
          <w:b/>
        </w:rPr>
      </w:pPr>
      <w:r w:rsidRPr="000314BF">
        <w:rPr>
          <w:b/>
        </w:rPr>
        <w:t>SC 3.1 – Prevence vzniku o</w:t>
      </w:r>
      <w:r w:rsidRPr="000314BF">
        <w:rPr>
          <w:b/>
        </w:rPr>
        <w:t>dpadů</w:t>
      </w:r>
    </w:p>
    <w:p w:rsidR="00AC5815" w:rsidRPr="000314BF" w:rsidRDefault="008C12E6" w:rsidP="00AC5815">
      <w:pPr>
        <w:spacing w:line="276" w:lineRule="auto"/>
      </w:pPr>
      <w:r w:rsidRPr="000314BF">
        <w:t xml:space="preserve">Podporované aktivity: </w:t>
      </w:r>
    </w:p>
    <w:p w:rsidR="00AC5815" w:rsidRPr="000314BF" w:rsidRDefault="008C12E6" w:rsidP="00AC5815">
      <w:pPr>
        <w:numPr>
          <w:ilvl w:val="0"/>
          <w:numId w:val="21"/>
        </w:numPr>
        <w:spacing w:line="276" w:lineRule="auto"/>
      </w:pPr>
      <w:r w:rsidRPr="000314BF">
        <w:t>Předcházení vzniku komunálních odpadů.</w:t>
      </w:r>
    </w:p>
    <w:p w:rsidR="00AC5815" w:rsidRPr="000314BF" w:rsidRDefault="008C12E6" w:rsidP="00AC5815">
      <w:pPr>
        <w:numPr>
          <w:ilvl w:val="0"/>
          <w:numId w:val="21"/>
        </w:numPr>
        <w:spacing w:after="60" w:line="276" w:lineRule="auto"/>
        <w:ind w:left="714" w:hanging="357"/>
      </w:pPr>
      <w:r w:rsidRPr="000314BF">
        <w:t>Předcházení vzniku průmyslových odpadů.</w:t>
      </w:r>
    </w:p>
    <w:p w:rsidR="00AC5815" w:rsidRPr="000314BF" w:rsidRDefault="008C12E6" w:rsidP="00AC5815">
      <w:pPr>
        <w:spacing w:line="276" w:lineRule="auto"/>
        <w:rPr>
          <w:b/>
        </w:rPr>
      </w:pPr>
      <w:r w:rsidRPr="000314BF">
        <w:rPr>
          <w:b/>
        </w:rPr>
        <w:t>SC 3.2 – Zvýšit podíl materiálového a energetického využití odpadů</w:t>
      </w:r>
    </w:p>
    <w:p w:rsidR="00AC5815" w:rsidRPr="000314BF" w:rsidRDefault="008C12E6" w:rsidP="00AC5815">
      <w:pPr>
        <w:spacing w:line="276" w:lineRule="auto"/>
      </w:pPr>
      <w:r w:rsidRPr="000314BF">
        <w:t>Podporované aktivity:</w:t>
      </w:r>
    </w:p>
    <w:p w:rsidR="00AC5815" w:rsidRPr="000314BF" w:rsidRDefault="008C12E6" w:rsidP="00AC5815">
      <w:pPr>
        <w:numPr>
          <w:ilvl w:val="0"/>
          <w:numId w:val="20"/>
        </w:numPr>
        <w:spacing w:line="276" w:lineRule="auto"/>
      </w:pPr>
      <w:r w:rsidRPr="000314BF">
        <w:t xml:space="preserve">Výstavba a modernizace zařízení pro sběr, třídění a úpravu </w:t>
      </w:r>
      <w:r w:rsidRPr="000314BF">
        <w:t>odpadů.</w:t>
      </w:r>
    </w:p>
    <w:p w:rsidR="00AC5815" w:rsidRPr="000314BF" w:rsidRDefault="008C12E6" w:rsidP="00AC5815">
      <w:pPr>
        <w:numPr>
          <w:ilvl w:val="0"/>
          <w:numId w:val="20"/>
        </w:numPr>
        <w:spacing w:line="276" w:lineRule="auto"/>
      </w:pPr>
      <w:r w:rsidRPr="000314BF">
        <w:t>Výstavba a modernizace zařízení pro materiálové využití odpadů.</w:t>
      </w:r>
    </w:p>
    <w:p w:rsidR="00AC5815" w:rsidRPr="000314BF" w:rsidRDefault="008C12E6" w:rsidP="00AC5815">
      <w:pPr>
        <w:numPr>
          <w:ilvl w:val="0"/>
          <w:numId w:val="20"/>
        </w:numPr>
        <w:spacing w:line="276" w:lineRule="auto"/>
      </w:pPr>
      <w:r w:rsidRPr="000314BF">
        <w:lastRenderedPageBreak/>
        <w:t>Výstavba a modernizace zařízení na energetické využití odpadů a související infrastruktury.</w:t>
      </w:r>
    </w:p>
    <w:p w:rsidR="00AC5815" w:rsidRPr="000314BF" w:rsidRDefault="008C12E6" w:rsidP="00AC5815">
      <w:pPr>
        <w:numPr>
          <w:ilvl w:val="0"/>
          <w:numId w:val="20"/>
        </w:numPr>
        <w:spacing w:after="60" w:line="276" w:lineRule="auto"/>
        <w:ind w:left="714" w:hanging="357"/>
      </w:pPr>
      <w:r w:rsidRPr="000314BF">
        <w:t>Výstavba a modernizace zařízení pro nakládání s nebezpečnými odpady včetně zdravotnických od</w:t>
      </w:r>
      <w:r w:rsidRPr="000314BF">
        <w:t>padů (vyjma skládkování).</w:t>
      </w:r>
    </w:p>
    <w:p w:rsidR="00AC5815" w:rsidRPr="000314BF" w:rsidRDefault="008C12E6" w:rsidP="00AC5815">
      <w:pPr>
        <w:spacing w:line="276" w:lineRule="auto"/>
        <w:rPr>
          <w:b/>
        </w:rPr>
      </w:pPr>
      <w:r w:rsidRPr="000314BF">
        <w:rPr>
          <w:b/>
        </w:rPr>
        <w:t>SC 3.3 – Rekultivovat staré skládky</w:t>
      </w:r>
    </w:p>
    <w:p w:rsidR="00AC5815" w:rsidRPr="000314BF" w:rsidRDefault="008C12E6" w:rsidP="00AC5815">
      <w:pPr>
        <w:spacing w:line="276" w:lineRule="auto"/>
      </w:pPr>
      <w:r w:rsidRPr="000314BF">
        <w:t>Podporovaná aktivita:</w:t>
      </w:r>
    </w:p>
    <w:p w:rsidR="00AC5815" w:rsidRPr="000314BF" w:rsidRDefault="008C12E6" w:rsidP="00AC5815">
      <w:pPr>
        <w:numPr>
          <w:ilvl w:val="0"/>
          <w:numId w:val="19"/>
        </w:numPr>
        <w:spacing w:after="60" w:line="276" w:lineRule="auto"/>
        <w:ind w:left="714" w:hanging="357"/>
      </w:pPr>
      <w:r w:rsidRPr="000314BF">
        <w:t>Rekultivace starých skládek (technicky nedostatečně zabezpečených).</w:t>
      </w:r>
    </w:p>
    <w:p w:rsidR="00AC5815" w:rsidRPr="000314BF" w:rsidRDefault="008C12E6" w:rsidP="00AC5815">
      <w:pPr>
        <w:keepNext/>
        <w:keepLines/>
        <w:spacing w:line="276" w:lineRule="auto"/>
        <w:rPr>
          <w:b/>
        </w:rPr>
      </w:pPr>
      <w:r w:rsidRPr="000314BF">
        <w:rPr>
          <w:b/>
        </w:rPr>
        <w:t>SC 3.4 – Dokončit inventarizaci a odstranit ekologické zátěže</w:t>
      </w:r>
    </w:p>
    <w:p w:rsidR="00AC5815" w:rsidRPr="000314BF" w:rsidRDefault="008C12E6" w:rsidP="00AC5815">
      <w:pPr>
        <w:spacing w:line="276" w:lineRule="auto"/>
      </w:pPr>
      <w:r w:rsidRPr="000314BF">
        <w:t>Podporované aktivity:</w:t>
      </w:r>
    </w:p>
    <w:p w:rsidR="00AC5815" w:rsidRPr="000314BF" w:rsidRDefault="008C12E6" w:rsidP="00AC5815">
      <w:pPr>
        <w:numPr>
          <w:ilvl w:val="0"/>
          <w:numId w:val="18"/>
        </w:numPr>
        <w:spacing w:line="276" w:lineRule="auto"/>
      </w:pPr>
      <w:r w:rsidRPr="000314BF">
        <w:t xml:space="preserve">Inventarizace </w:t>
      </w:r>
      <w:r w:rsidRPr="000314BF">
        <w:t>kontaminovaných a potenciálně kontaminovaných míst, kategorizace priorit pro výběr nejvážněji kontaminovaných míst k sanaci.</w:t>
      </w:r>
    </w:p>
    <w:p w:rsidR="00AC5815" w:rsidRPr="000314BF" w:rsidRDefault="008C12E6" w:rsidP="00AC5815">
      <w:pPr>
        <w:numPr>
          <w:ilvl w:val="0"/>
          <w:numId w:val="18"/>
        </w:numPr>
        <w:spacing w:line="276" w:lineRule="auto"/>
      </w:pPr>
      <w:r w:rsidRPr="000314BF">
        <w:t xml:space="preserve">Realizace průzkumných akcí (včetně </w:t>
      </w:r>
      <w:proofErr w:type="spellStart"/>
      <w:r w:rsidRPr="000314BF">
        <w:t>doprůzkumů</w:t>
      </w:r>
      <w:proofErr w:type="spellEnd"/>
      <w:r w:rsidRPr="000314BF">
        <w:t>) a analýz rizik.</w:t>
      </w:r>
    </w:p>
    <w:p w:rsidR="00AC5815" w:rsidRPr="000314BF" w:rsidRDefault="008C12E6" w:rsidP="00AC5815">
      <w:pPr>
        <w:numPr>
          <w:ilvl w:val="0"/>
          <w:numId w:val="18"/>
        </w:numPr>
        <w:spacing w:after="60" w:line="276" w:lineRule="auto"/>
        <w:ind w:left="714" w:hanging="357"/>
      </w:pPr>
      <w:r w:rsidRPr="000314BF">
        <w:t>Sanace vážně kontaminovaných lokalit.</w:t>
      </w:r>
    </w:p>
    <w:p w:rsidR="00AC5815" w:rsidRPr="000314BF" w:rsidRDefault="008C12E6" w:rsidP="00AC5815">
      <w:pPr>
        <w:spacing w:line="276" w:lineRule="auto"/>
        <w:rPr>
          <w:b/>
        </w:rPr>
      </w:pPr>
      <w:r w:rsidRPr="000314BF">
        <w:rPr>
          <w:b/>
        </w:rPr>
        <w:t>SC 3.5 – Snížit environmentáln</w:t>
      </w:r>
      <w:r w:rsidRPr="000314BF">
        <w:rPr>
          <w:b/>
        </w:rPr>
        <w:t>í rizika a rozvíjet systémy jejich řízení</w:t>
      </w:r>
    </w:p>
    <w:p w:rsidR="00AC5815" w:rsidRPr="000314BF" w:rsidRDefault="008C12E6" w:rsidP="00AC5815">
      <w:pPr>
        <w:spacing w:line="276" w:lineRule="auto"/>
      </w:pPr>
      <w:r w:rsidRPr="000314BF">
        <w:t>Podporované aktivity:</w:t>
      </w:r>
    </w:p>
    <w:p w:rsidR="00AC5815" w:rsidRPr="000314BF" w:rsidRDefault="008C12E6" w:rsidP="00AC5815">
      <w:pPr>
        <w:numPr>
          <w:ilvl w:val="0"/>
          <w:numId w:val="22"/>
        </w:numPr>
        <w:spacing w:line="276" w:lineRule="auto"/>
      </w:pPr>
      <w:r w:rsidRPr="000314BF">
        <w:t>Náhrada nebo rekonstrukce zařízení (stacionární technické nebo technologické jednotky, ve které je nebezpečná chemická látka vyráběna, zpracovávána, používána, přepravována nebo skladována) s </w:t>
      </w:r>
      <w:r w:rsidRPr="000314BF">
        <w:t>cílem zvýšení bezpečnosti provozu, snížení míry rizika nad rámec standardů a norem Evropské unie.</w:t>
      </w:r>
    </w:p>
    <w:p w:rsidR="00AC5815" w:rsidRPr="000314BF" w:rsidRDefault="008C12E6" w:rsidP="00AC5815">
      <w:pPr>
        <w:numPr>
          <w:ilvl w:val="0"/>
          <w:numId w:val="22"/>
        </w:numPr>
        <w:spacing w:line="276" w:lineRule="auto"/>
      </w:pPr>
      <w:r w:rsidRPr="000314BF">
        <w:t>Rekonstrukce nebo nákup technologií vedoucích k omezení emisí znečišťujících životní prostředí (použití tzv. Nejlepších dostupných technik (BAT) a nově vznika</w:t>
      </w:r>
      <w:r w:rsidRPr="000314BF">
        <w:t xml:space="preserve">jících technik uvedených např. v referenčních dokumentech o BAT). </w:t>
      </w:r>
    </w:p>
    <w:p w:rsidR="00AC5815" w:rsidRPr="000314BF" w:rsidRDefault="008C12E6" w:rsidP="00AC5815">
      <w:pPr>
        <w:numPr>
          <w:ilvl w:val="0"/>
          <w:numId w:val="22"/>
        </w:numPr>
        <w:spacing w:line="276" w:lineRule="auto"/>
        <w:ind w:left="714" w:hanging="357"/>
        <w:rPr>
          <w:rFonts w:eastAsia="Calibri" w:cs="Verdana"/>
          <w:szCs w:val="24"/>
        </w:rPr>
      </w:pPr>
      <w:r w:rsidRPr="000314BF">
        <w:t>Rekonstrukce nebo nákup technologií pro monitoring průmyslového znečištění jednotlivých sl</w:t>
      </w:r>
      <w:r w:rsidRPr="000314BF">
        <w:rPr>
          <w:rFonts w:eastAsia="Calibri" w:cs="Verdana"/>
          <w:szCs w:val="24"/>
        </w:rPr>
        <w:t>ožek životního prostředí.</w:t>
      </w:r>
    </w:p>
    <w:p w:rsidR="00AC5815" w:rsidRPr="000314BF" w:rsidRDefault="00AC5815" w:rsidP="00AC5815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AC5815" w:rsidRPr="000314BF" w:rsidRDefault="008C12E6" w:rsidP="00AC581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314BF">
        <w:rPr>
          <w:rFonts w:asciiTheme="minorHAnsi" w:hAnsiTheme="minorHAnsi"/>
          <w:color w:val="auto"/>
        </w:rPr>
        <w:t>Finanční podpora z OPŽP efektivně přispívá k rozvoji infrastruktury odpa</w:t>
      </w:r>
      <w:r w:rsidRPr="000314BF">
        <w:rPr>
          <w:rFonts w:asciiTheme="minorHAnsi" w:hAnsiTheme="minorHAnsi"/>
          <w:color w:val="auto"/>
        </w:rPr>
        <w:t>dového hospodářství ČR, plnění cílů stanovených v POH a celkovému zlepšení stavu odpadového hospodářství.</w:t>
      </w:r>
    </w:p>
    <w:p w:rsidR="00AC5815" w:rsidRPr="000314BF" w:rsidRDefault="008C12E6" w:rsidP="00AC581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314BF">
        <w:rPr>
          <w:rFonts w:asciiTheme="minorHAnsi" w:hAnsiTheme="minorHAnsi"/>
          <w:color w:val="auto"/>
        </w:rPr>
        <w:t>Projekty podpořené z OPŽP přispěly k vybavení systémů nakládání s komunálními odpady příslušnou infrastrukturou (zařízení na nakládání s odpady, sběrn</w:t>
      </w:r>
      <w:r w:rsidRPr="000314BF">
        <w:rPr>
          <w:rFonts w:asciiTheme="minorHAnsi" w:hAnsiTheme="minorHAnsi"/>
          <w:color w:val="auto"/>
        </w:rPr>
        <w:t xml:space="preserve">á síť), zejména pak v oblasti odděleného sběru a využití materiálově využitelných komunálních odpadů. </w:t>
      </w:r>
    </w:p>
    <w:p w:rsidR="00AC5815" w:rsidRPr="000314BF" w:rsidRDefault="008C12E6" w:rsidP="00AC581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314BF">
        <w:rPr>
          <w:rFonts w:asciiTheme="minorHAnsi" w:hAnsiTheme="minorHAnsi"/>
          <w:color w:val="auto"/>
        </w:rPr>
        <w:t>Významně byla podporována rovněž oblast předcházení vzniku odpadů zejména prostřednictvím domácích kompostérů, komunitních kompostáren a RE-USE center pr</w:t>
      </w:r>
      <w:r w:rsidRPr="000314BF">
        <w:rPr>
          <w:rFonts w:asciiTheme="minorHAnsi" w:hAnsiTheme="minorHAnsi"/>
          <w:color w:val="auto"/>
        </w:rPr>
        <w:t>o opětovné použití výrobků.</w:t>
      </w:r>
    </w:p>
    <w:p w:rsidR="000314BF" w:rsidRDefault="008C12E6" w:rsidP="00AC581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314BF">
        <w:rPr>
          <w:rFonts w:asciiTheme="minorHAnsi" w:hAnsiTheme="minorHAnsi"/>
          <w:color w:val="auto"/>
        </w:rPr>
        <w:t>Podporou z OPŽP bylo dosaženo vyššího materiálovému využití využitelných složek komunálního odpadu, a naopak poklesu množství skládkovaného směsného komunálního odpadu. Projekty z OPŽP přispěly k plnění cílů definovaných v pláne</w:t>
      </w:r>
      <w:r w:rsidRPr="000314BF">
        <w:rPr>
          <w:rFonts w:asciiTheme="minorHAnsi" w:hAnsiTheme="minorHAnsi"/>
          <w:color w:val="auto"/>
        </w:rPr>
        <w:t>ch odpadového hospodářství z oblasti nakládání s komunálním odpadem.</w:t>
      </w:r>
    </w:p>
    <w:p w:rsidR="00AC5815" w:rsidRDefault="008C12E6" w:rsidP="00AC581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AC5815" w:rsidRPr="007D1703" w:rsidRDefault="00AC5815" w:rsidP="00AC5815">
      <w:pPr>
        <w:pStyle w:val="Default"/>
        <w:jc w:val="both"/>
        <w:rPr>
          <w:rFonts w:asciiTheme="minorHAnsi" w:hAnsiTheme="minorHAnsi"/>
          <w:color w:val="auto"/>
        </w:rPr>
      </w:pPr>
    </w:p>
    <w:p w:rsidR="00AC5815" w:rsidRDefault="008C12E6" w:rsidP="00AC5815">
      <w:pPr>
        <w:pStyle w:val="Default"/>
        <w:spacing w:after="60"/>
        <w:rPr>
          <w:rFonts w:asciiTheme="minorHAnsi" w:hAnsiTheme="minorHAnsi"/>
          <w:b/>
        </w:rPr>
      </w:pPr>
      <w:r w:rsidRPr="000314BF">
        <w:rPr>
          <w:rFonts w:asciiTheme="minorHAnsi" w:hAnsiTheme="minorHAnsi"/>
          <w:b/>
        </w:rPr>
        <w:lastRenderedPageBreak/>
        <w:t xml:space="preserve">Tabulka </w:t>
      </w:r>
      <w:r w:rsidR="005E7AD6">
        <w:rPr>
          <w:rFonts w:asciiTheme="minorHAnsi" w:hAnsiTheme="minorHAnsi"/>
          <w:b/>
        </w:rPr>
        <w:t>11</w:t>
      </w:r>
      <w:r w:rsidRPr="000314BF">
        <w:rPr>
          <w:rFonts w:asciiTheme="minorHAnsi" w:hAnsiTheme="minorHAnsi"/>
          <w:b/>
        </w:rPr>
        <w:t>: Vypsané výzvy v roce 2015 dle jednotlivých specifických cílů (SC)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04"/>
        <w:gridCol w:w="1645"/>
        <w:gridCol w:w="1967"/>
        <w:gridCol w:w="1864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Název výzvy</w:t>
            </w:r>
          </w:p>
        </w:tc>
        <w:tc>
          <w:tcPr>
            <w:tcW w:w="180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Příjem žádostí</w:t>
            </w:r>
          </w:p>
        </w:tc>
        <w:tc>
          <w:tcPr>
            <w:tcW w:w="1645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 xml:space="preserve">Fin. alokace </w:t>
            </w:r>
          </w:p>
        </w:tc>
        <w:tc>
          <w:tcPr>
            <w:tcW w:w="1967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Počet doporučených projektů</w:t>
            </w:r>
          </w:p>
        </w:tc>
        <w:tc>
          <w:tcPr>
            <w:tcW w:w="186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 xml:space="preserve">Příspěvek EU v </w:t>
            </w:r>
            <w:r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 xml:space="preserve">MŽP_ 5. výzva, </w:t>
            </w: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>PO3, SC 3.2</w:t>
            </w:r>
          </w:p>
        </w:tc>
        <w:tc>
          <w:tcPr>
            <w:tcW w:w="1804" w:type="dxa"/>
            <w:vAlign w:val="center"/>
          </w:tcPr>
          <w:p w:rsidR="00AC5815" w:rsidRPr="00686B11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14. 8. 2015 – 13. 11. 2015</w:t>
            </w:r>
          </w:p>
        </w:tc>
        <w:tc>
          <w:tcPr>
            <w:tcW w:w="1645" w:type="dxa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1 500 000 000</w:t>
            </w:r>
          </w:p>
        </w:tc>
        <w:tc>
          <w:tcPr>
            <w:tcW w:w="1967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281</w:t>
            </w:r>
          </w:p>
        </w:tc>
        <w:tc>
          <w:tcPr>
            <w:tcW w:w="1864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1 009 584 491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>MŽP_ 6. výzva, PO3, SC 3.4</w:t>
            </w:r>
          </w:p>
        </w:tc>
        <w:tc>
          <w:tcPr>
            <w:tcW w:w="1804" w:type="dxa"/>
            <w:vAlign w:val="center"/>
          </w:tcPr>
          <w:p w:rsidR="00AC5815" w:rsidRPr="00686B11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14. 8. 2015 – 15. 1. 2016</w:t>
            </w:r>
          </w:p>
        </w:tc>
        <w:tc>
          <w:tcPr>
            <w:tcW w:w="1645" w:type="dxa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300 000 000</w:t>
            </w:r>
          </w:p>
        </w:tc>
        <w:tc>
          <w:tcPr>
            <w:tcW w:w="1967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64" w:type="dxa"/>
            <w:vAlign w:val="center"/>
          </w:tcPr>
          <w:p w:rsidR="00AC5815" w:rsidRPr="00686B11" w:rsidRDefault="00AC5815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>MŽP_ 7. výzva, PO3, SC 3.4</w:t>
            </w:r>
          </w:p>
        </w:tc>
        <w:tc>
          <w:tcPr>
            <w:tcW w:w="1804" w:type="dxa"/>
            <w:vAlign w:val="center"/>
          </w:tcPr>
          <w:p w:rsidR="00AC5815" w:rsidRPr="00686B11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14. 8. 2015 – 13. 11. 2015</w:t>
            </w:r>
          </w:p>
        </w:tc>
        <w:tc>
          <w:tcPr>
            <w:tcW w:w="1645" w:type="dxa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560 000 000</w:t>
            </w:r>
          </w:p>
        </w:tc>
        <w:tc>
          <w:tcPr>
            <w:tcW w:w="1967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864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699 204 458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>MŽP_ 23. výzva, PO3, SC 3.2</w:t>
            </w:r>
          </w:p>
        </w:tc>
        <w:tc>
          <w:tcPr>
            <w:tcW w:w="1804" w:type="dxa"/>
            <w:vAlign w:val="center"/>
          </w:tcPr>
          <w:p w:rsidR="00AC5815" w:rsidRPr="00686B11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 xml:space="preserve">15. </w:t>
            </w:r>
            <w:r w:rsidRPr="00686B11">
              <w:rPr>
                <w:rFonts w:asciiTheme="minorHAnsi" w:hAnsiTheme="minorHAnsi"/>
                <w:sz w:val="20"/>
                <w:szCs w:val="20"/>
              </w:rPr>
              <w:t>10. 2015 – 6. 1. 2016</w:t>
            </w:r>
          </w:p>
        </w:tc>
        <w:tc>
          <w:tcPr>
            <w:tcW w:w="1645" w:type="dxa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300 000 000</w:t>
            </w:r>
          </w:p>
        </w:tc>
        <w:tc>
          <w:tcPr>
            <w:tcW w:w="1967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64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14 206 000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>MŽP_ 24. výzva, PO3, SC 3.3</w:t>
            </w:r>
          </w:p>
        </w:tc>
        <w:tc>
          <w:tcPr>
            <w:tcW w:w="1804" w:type="dxa"/>
            <w:vAlign w:val="center"/>
          </w:tcPr>
          <w:p w:rsidR="00AC5815" w:rsidRPr="00686B11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15. 10. 2015 – 6. 1. 2016</w:t>
            </w:r>
          </w:p>
        </w:tc>
        <w:tc>
          <w:tcPr>
            <w:tcW w:w="1645" w:type="dxa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359 000 000</w:t>
            </w:r>
          </w:p>
        </w:tc>
        <w:tc>
          <w:tcPr>
            <w:tcW w:w="1967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64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153 499 428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 xml:space="preserve">MŽP_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18</w:t>
            </w:r>
            <w:r w:rsidRPr="00686B11">
              <w:rPr>
                <w:rFonts w:asciiTheme="minorHAnsi" w:hAnsiTheme="minorHAnsi"/>
                <w:b w:val="0"/>
                <w:sz w:val="20"/>
                <w:szCs w:val="20"/>
              </w:rPr>
              <w:t>. výzva, PO3, SC 3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.5</w:t>
            </w:r>
          </w:p>
        </w:tc>
        <w:tc>
          <w:tcPr>
            <w:tcW w:w="1804" w:type="dxa"/>
            <w:vAlign w:val="center"/>
          </w:tcPr>
          <w:p w:rsidR="00AC5815" w:rsidRPr="00686B11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 xml:space="preserve">15. 10. 2015 – </w:t>
            </w:r>
            <w:r>
              <w:rPr>
                <w:rFonts w:asciiTheme="minorHAnsi" w:hAnsiTheme="minorHAnsi"/>
                <w:sz w:val="20"/>
                <w:szCs w:val="20"/>
              </w:rPr>
              <w:t>15. 10.</w:t>
            </w:r>
            <w:r w:rsidRPr="00686B11">
              <w:rPr>
                <w:rFonts w:asciiTheme="minorHAnsi" w:hAnsiTheme="minorHAnsi"/>
                <w:sz w:val="20"/>
                <w:szCs w:val="20"/>
              </w:rPr>
              <w:t xml:space="preserve"> 2016</w:t>
            </w:r>
          </w:p>
        </w:tc>
        <w:tc>
          <w:tcPr>
            <w:tcW w:w="1645" w:type="dxa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60 000 000</w:t>
            </w:r>
          </w:p>
        </w:tc>
        <w:tc>
          <w:tcPr>
            <w:tcW w:w="1967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864" w:type="dxa"/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138 660 513</w:t>
            </w:r>
          </w:p>
        </w:tc>
      </w:tr>
    </w:tbl>
    <w:p w:rsidR="00AC5815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6718ED">
        <w:rPr>
          <w:rFonts w:eastAsia="Times New Roman" w:cs="Arial"/>
          <w:i/>
          <w:sz w:val="18"/>
          <w:szCs w:val="18"/>
          <w:lang w:eastAsia="cs-CZ"/>
        </w:rPr>
        <w:t>Zdroj: MŽP, SFŽP 2017</w:t>
      </w:r>
    </w:p>
    <w:p w:rsidR="00AC5815" w:rsidRPr="00AC5815" w:rsidRDefault="00AC5815" w:rsidP="00AC5815">
      <w:pPr>
        <w:autoSpaceDE w:val="0"/>
        <w:autoSpaceDN w:val="0"/>
        <w:adjustRightInd w:val="0"/>
        <w:spacing w:after="120"/>
        <w:rPr>
          <w:rFonts w:eastAsia="Times New Roman" w:cs="Arial"/>
          <w:i/>
          <w:szCs w:val="24"/>
          <w:lang w:eastAsia="cs-CZ"/>
        </w:rPr>
      </w:pPr>
    </w:p>
    <w:p w:rsidR="00AC5815" w:rsidRPr="007D1703" w:rsidRDefault="008C12E6" w:rsidP="00AC5815">
      <w:pPr>
        <w:spacing w:after="60" w:line="259" w:lineRule="auto"/>
        <w:jc w:val="left"/>
        <w:rPr>
          <w:rFonts w:eastAsia="Calibri" w:cs="Verdana"/>
          <w:b/>
          <w:color w:val="000000"/>
          <w:szCs w:val="24"/>
        </w:rPr>
      </w:pPr>
      <w:r w:rsidRPr="000314BF">
        <w:rPr>
          <w:b/>
        </w:rPr>
        <w:t>Tabulka 1</w:t>
      </w:r>
      <w:r w:rsidR="005E7AD6">
        <w:rPr>
          <w:b/>
        </w:rPr>
        <w:t>2</w:t>
      </w:r>
      <w:r w:rsidRPr="000314BF">
        <w:rPr>
          <w:b/>
        </w:rPr>
        <w:t xml:space="preserve">: Vypsané </w:t>
      </w:r>
      <w:r w:rsidRPr="000314BF">
        <w:rPr>
          <w:b/>
        </w:rPr>
        <w:t>výzvy v roce 2016 dle jednotlivých specifických cílů (SC)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04"/>
        <w:gridCol w:w="1645"/>
        <w:gridCol w:w="1967"/>
        <w:gridCol w:w="1864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Název výzvy</w:t>
            </w:r>
          </w:p>
        </w:tc>
        <w:tc>
          <w:tcPr>
            <w:tcW w:w="1804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Příjem žádostí</w:t>
            </w:r>
          </w:p>
        </w:tc>
        <w:tc>
          <w:tcPr>
            <w:tcW w:w="1645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Fin</w:t>
            </w:r>
            <w:r>
              <w:rPr>
                <w:rFonts w:ascii="Calibri" w:hAnsi="Calibri"/>
                <w:sz w:val="20"/>
                <w:szCs w:val="20"/>
              </w:rPr>
              <w:t>anční</w:t>
            </w:r>
            <w:r w:rsidRPr="009F012D">
              <w:rPr>
                <w:rFonts w:ascii="Calibri" w:hAnsi="Calibri"/>
                <w:sz w:val="20"/>
                <w:szCs w:val="20"/>
              </w:rPr>
              <w:t xml:space="preserve"> alokace</w:t>
            </w:r>
          </w:p>
        </w:tc>
        <w:tc>
          <w:tcPr>
            <w:tcW w:w="1967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Počet doporučených projektů</w:t>
            </w:r>
          </w:p>
        </w:tc>
        <w:tc>
          <w:tcPr>
            <w:tcW w:w="1864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Příspěvek EU v (EUR)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b w:val="0"/>
                <w:sz w:val="20"/>
                <w:szCs w:val="20"/>
              </w:rPr>
              <w:t>MŽP_ 36. výzva, PO3, SC 3.4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1. 4. 2016 – 15. 7. 2016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600 000 000</w:t>
            </w:r>
          </w:p>
        </w:tc>
        <w:tc>
          <w:tcPr>
            <w:tcW w:w="1967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8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353 437 335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b w:val="0"/>
                <w:sz w:val="20"/>
                <w:szCs w:val="20"/>
              </w:rPr>
              <w:t>MŽP_ 40. výzva, PO3, SC</w:t>
            </w:r>
            <w:r w:rsidRPr="009F012D">
              <w:rPr>
                <w:rFonts w:ascii="Calibri" w:hAnsi="Calibri"/>
                <w:b w:val="0"/>
                <w:sz w:val="20"/>
                <w:szCs w:val="20"/>
              </w:rPr>
              <w:t xml:space="preserve"> 3.1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1. 9. 2016 – 30. 11. 2016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100 000 000</w:t>
            </w:r>
          </w:p>
        </w:tc>
        <w:tc>
          <w:tcPr>
            <w:tcW w:w="1967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132</w:t>
            </w:r>
          </w:p>
        </w:tc>
        <w:tc>
          <w:tcPr>
            <w:tcW w:w="18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292 178 415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b w:val="0"/>
                <w:sz w:val="20"/>
                <w:szCs w:val="20"/>
              </w:rPr>
              <w:t>MŽP_ 41. výzva, PO3, 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1. 9. 2016 – 30. 11. 2016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1 850 000 000</w:t>
            </w:r>
          </w:p>
        </w:tc>
        <w:tc>
          <w:tcPr>
            <w:tcW w:w="1967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635</w:t>
            </w:r>
          </w:p>
        </w:tc>
        <w:tc>
          <w:tcPr>
            <w:tcW w:w="18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2 056 249 401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b w:val="0"/>
                <w:sz w:val="20"/>
                <w:szCs w:val="20"/>
              </w:rPr>
              <w:t>MŽP_ 44. výzva, PO3, SC 3.4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1. 10. 2016 – 6. 1. 2017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500 000 000</w:t>
            </w:r>
          </w:p>
        </w:tc>
        <w:tc>
          <w:tcPr>
            <w:tcW w:w="1967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8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208 161 697</w:t>
            </w:r>
          </w:p>
        </w:tc>
      </w:tr>
    </w:tbl>
    <w:p w:rsidR="00AC5815" w:rsidRPr="006718ED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 w:rsidRPr="006718ED">
        <w:rPr>
          <w:rFonts w:eastAsia="Times New Roman" w:cs="Arial"/>
          <w:i/>
          <w:sz w:val="18"/>
          <w:szCs w:val="18"/>
          <w:lang w:eastAsia="cs-CZ"/>
        </w:rPr>
        <w:t>Zdroj: MŽP, SFŽP 2017</w:t>
      </w:r>
    </w:p>
    <w:p w:rsidR="00AC5815" w:rsidRDefault="00AC5815" w:rsidP="00AC5815">
      <w:pPr>
        <w:spacing w:after="120" w:line="276" w:lineRule="auto"/>
        <w:rPr>
          <w:b/>
        </w:rPr>
      </w:pPr>
    </w:p>
    <w:p w:rsidR="00AC5815" w:rsidRPr="001D3953" w:rsidRDefault="008C12E6" w:rsidP="00AC5815">
      <w:pPr>
        <w:pStyle w:val="Default"/>
        <w:spacing w:after="60"/>
        <w:rPr>
          <w:rFonts w:asciiTheme="minorHAnsi" w:hAnsiTheme="minorHAnsi"/>
          <w:b/>
        </w:rPr>
      </w:pPr>
      <w:r w:rsidRPr="000314BF">
        <w:rPr>
          <w:rFonts w:asciiTheme="minorHAnsi" w:hAnsiTheme="minorHAnsi"/>
          <w:b/>
        </w:rPr>
        <w:t>Tabulka 1</w:t>
      </w:r>
      <w:r w:rsidR="005E7AD6">
        <w:rPr>
          <w:rFonts w:asciiTheme="minorHAnsi" w:hAnsiTheme="minorHAnsi"/>
          <w:b/>
        </w:rPr>
        <w:t>3</w:t>
      </w:r>
      <w:r w:rsidRPr="000314BF">
        <w:rPr>
          <w:rFonts w:asciiTheme="minorHAnsi" w:hAnsiTheme="minorHAnsi"/>
          <w:b/>
        </w:rPr>
        <w:t>: Vypsané výzvy v roce 2017 dle jednotlivých specifických cílů (SC)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04"/>
        <w:gridCol w:w="1645"/>
        <w:gridCol w:w="1967"/>
        <w:gridCol w:w="1864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Název výzvy</w:t>
            </w:r>
          </w:p>
        </w:tc>
        <w:tc>
          <w:tcPr>
            <w:tcW w:w="1804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Příjem žádostí</w:t>
            </w:r>
          </w:p>
        </w:tc>
        <w:tc>
          <w:tcPr>
            <w:tcW w:w="1645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20"/>
                <w:szCs w:val="20"/>
              </w:rPr>
              <w:t>anční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alokace</w:t>
            </w:r>
          </w:p>
        </w:tc>
        <w:tc>
          <w:tcPr>
            <w:tcW w:w="1967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Počet doporučených projektů</w:t>
            </w:r>
          </w:p>
        </w:tc>
        <w:tc>
          <w:tcPr>
            <w:tcW w:w="1864" w:type="dxa"/>
            <w:tcBorders>
              <w:bottom w:val="none" w:sz="0" w:space="0" w:color="auto"/>
            </w:tcBorders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Příspěvek EU v Kč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68. výzva, PO3, SC 3.1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3. 4. 2017 – 31. 7. 2017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600 000 000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245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341 351 185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 xml:space="preserve">MŽP_ 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84. výzva, PO3, SC 3.1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3. 4. 2017 – 31. 5.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11 339 561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69. výzva, PO3, 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1. 9. 2017 – 28. 2. 2018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 800 000 000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248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1 097 643 825</w:t>
            </w:r>
          </w:p>
        </w:tc>
      </w:tr>
      <w:tr w:rsidR="007E5173" w:rsidTr="007E5173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85. výzva, PO3, 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3. 4. 2017 – 2. 1.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450 000 000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42 719 613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76. výzva, PO3,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 xml:space="preserve"> SC 3.3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3. 4. 2017 – 3. 6. 2017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198 994 950</w:t>
            </w:r>
          </w:p>
        </w:tc>
      </w:tr>
      <w:tr w:rsidR="007E5173" w:rsidTr="007E5173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65. výzva, PO3, SC 3.4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3. 4. 2017 – 30. 6. 2017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635 089 794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75. výzva, PO3, SC 3.4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1. 11. 2017 – 1. 2. 2018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944 555 711</w:t>
            </w:r>
          </w:p>
        </w:tc>
      </w:tr>
      <w:tr w:rsidR="007E5173" w:rsidTr="007E5173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77. výzva, PO3, SC 3.4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 xml:space="preserve">3. 4. 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2017 – 30. 8. 2017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150 000 000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114 957 689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86. výzva, PO3, SC 3.4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16. 1. 2017– 30. 8.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3 953 988</w:t>
            </w:r>
          </w:p>
        </w:tc>
      </w:tr>
      <w:tr w:rsidR="007E5173" w:rsidTr="007E5173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MŽP_ 1/2017/IFN. výzva, PO3, SC 3.5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16. 10. 2017– 31. 12.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480 000 000</w:t>
            </w:r>
          </w:p>
        </w:tc>
        <w:tc>
          <w:tcPr>
            <w:tcW w:w="1967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64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480 000 000</w:t>
            </w:r>
          </w:p>
        </w:tc>
      </w:tr>
    </w:tbl>
    <w:p w:rsidR="00AC5815" w:rsidRPr="006718ED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>
        <w:rPr>
          <w:rFonts w:eastAsia="Times New Roman" w:cs="Arial"/>
          <w:i/>
          <w:sz w:val="18"/>
          <w:szCs w:val="18"/>
          <w:lang w:eastAsia="cs-CZ"/>
        </w:rPr>
        <w:t>Zdroj: MŽP, SFŽP 2019</w:t>
      </w:r>
    </w:p>
    <w:p w:rsidR="00AC5815" w:rsidRDefault="00AC5815" w:rsidP="00AC5815">
      <w:pPr>
        <w:spacing w:after="120" w:line="276" w:lineRule="auto"/>
        <w:rPr>
          <w:b/>
        </w:rPr>
      </w:pPr>
    </w:p>
    <w:p w:rsidR="00AC5815" w:rsidRPr="001D3953" w:rsidRDefault="008C12E6" w:rsidP="00AC5815">
      <w:pPr>
        <w:pStyle w:val="Default"/>
        <w:spacing w:after="60"/>
        <w:rPr>
          <w:rFonts w:asciiTheme="minorHAnsi" w:hAnsiTheme="minorHAnsi"/>
          <w:b/>
        </w:rPr>
      </w:pPr>
      <w:r w:rsidRPr="000314BF">
        <w:rPr>
          <w:rFonts w:asciiTheme="minorHAnsi" w:hAnsiTheme="minorHAnsi"/>
          <w:b/>
        </w:rPr>
        <w:t>Tabulka 1</w:t>
      </w:r>
      <w:r w:rsidR="005E7AD6">
        <w:rPr>
          <w:rFonts w:asciiTheme="minorHAnsi" w:hAnsiTheme="minorHAnsi"/>
          <w:b/>
        </w:rPr>
        <w:t>4</w:t>
      </w:r>
      <w:r w:rsidRPr="000314BF">
        <w:rPr>
          <w:rFonts w:asciiTheme="minorHAnsi" w:hAnsiTheme="minorHAnsi"/>
          <w:b/>
        </w:rPr>
        <w:t>: Vypsané</w:t>
      </w:r>
      <w:r w:rsidRPr="000314BF">
        <w:rPr>
          <w:rFonts w:asciiTheme="minorHAnsi" w:hAnsiTheme="minorHAnsi"/>
          <w:b/>
        </w:rPr>
        <w:t xml:space="preserve"> výzvy v roce 2018 dle jednotlivých specifických cílů (SC)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04"/>
        <w:gridCol w:w="1645"/>
        <w:gridCol w:w="1967"/>
        <w:gridCol w:w="1864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Název výzvy</w:t>
            </w:r>
          </w:p>
        </w:tc>
        <w:tc>
          <w:tcPr>
            <w:tcW w:w="180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Příjem žádostí</w:t>
            </w:r>
          </w:p>
        </w:tc>
        <w:tc>
          <w:tcPr>
            <w:tcW w:w="1645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20"/>
                <w:szCs w:val="20"/>
              </w:rPr>
              <w:t>anční</w:t>
            </w:r>
            <w:r w:rsidRPr="00686B11">
              <w:rPr>
                <w:rFonts w:asciiTheme="minorHAnsi" w:hAnsiTheme="minorHAnsi"/>
                <w:sz w:val="20"/>
                <w:szCs w:val="20"/>
              </w:rPr>
              <w:t xml:space="preserve"> alokace</w:t>
            </w:r>
          </w:p>
        </w:tc>
        <w:tc>
          <w:tcPr>
            <w:tcW w:w="1967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Počet doporučených projektů</w:t>
            </w:r>
          </w:p>
        </w:tc>
        <w:tc>
          <w:tcPr>
            <w:tcW w:w="186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 xml:space="preserve">Příspěvek EU v </w:t>
            </w:r>
            <w:r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103. výzva, PO3, SC 3.1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3. 4. 2018 – 31. 7. 2018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218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348 499 433</w:t>
            </w: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 xml:space="preserve">MŽP_ 104. výzva, PO3, 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3. 9. 2018 – 28. 2.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 800 000 000</w:t>
            </w:r>
          </w:p>
        </w:tc>
        <w:tc>
          <w:tcPr>
            <w:tcW w:w="1967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174</w:t>
            </w:r>
          </w:p>
        </w:tc>
        <w:tc>
          <w:tcPr>
            <w:tcW w:w="1864" w:type="dxa"/>
            <w:vAlign w:val="bottom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="Calibri" w:hAnsi="Calibri"/>
                <w:sz w:val="20"/>
                <w:szCs w:val="20"/>
              </w:rPr>
              <w:t>528 452 040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114. výzva, PO3, 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 xml:space="preserve">3. 9. 2018 –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500 000 000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AC5815" w:rsidRPr="007F1D9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F1D99"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1864" w:type="dxa"/>
            <w:shd w:val="clear" w:color="auto" w:fill="auto"/>
            <w:vAlign w:val="bottom"/>
          </w:tcPr>
          <w:p w:rsidR="00AC5815" w:rsidRPr="007F1D99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F1D99">
              <w:rPr>
                <w:rFonts w:ascii="Calibri" w:hAnsi="Calibri"/>
                <w:sz w:val="20"/>
                <w:szCs w:val="20"/>
              </w:rPr>
              <w:t>759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7F1D99">
              <w:rPr>
                <w:rFonts w:ascii="Calibri" w:hAnsi="Calibri"/>
                <w:sz w:val="20"/>
                <w:szCs w:val="20"/>
              </w:rPr>
              <w:t>749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F1D99">
              <w:rPr>
                <w:rFonts w:ascii="Calibri" w:hAnsi="Calibri"/>
                <w:sz w:val="20"/>
                <w:szCs w:val="20"/>
              </w:rPr>
              <w:t>933</w:t>
            </w:r>
          </w:p>
        </w:tc>
      </w:tr>
    </w:tbl>
    <w:p w:rsidR="00AC5815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>
        <w:rPr>
          <w:rFonts w:eastAsia="Times New Roman" w:cs="Arial"/>
          <w:i/>
          <w:sz w:val="18"/>
          <w:szCs w:val="18"/>
          <w:lang w:eastAsia="cs-CZ"/>
        </w:rPr>
        <w:t>Zdroj: MŽP, SFŽP 2019</w:t>
      </w:r>
    </w:p>
    <w:p w:rsidR="00AC5815" w:rsidRDefault="00AC5815" w:rsidP="00AC5815">
      <w:pPr>
        <w:autoSpaceDE w:val="0"/>
        <w:autoSpaceDN w:val="0"/>
        <w:adjustRightInd w:val="0"/>
        <w:spacing w:after="120"/>
        <w:rPr>
          <w:rFonts w:eastAsia="Times New Roman" w:cs="Arial"/>
          <w:i/>
          <w:sz w:val="18"/>
          <w:szCs w:val="18"/>
          <w:lang w:eastAsia="cs-CZ"/>
        </w:rPr>
      </w:pPr>
    </w:p>
    <w:p w:rsidR="00AC5815" w:rsidRPr="007D1703" w:rsidRDefault="008C12E6" w:rsidP="00AC5815">
      <w:pPr>
        <w:spacing w:after="60" w:line="259" w:lineRule="auto"/>
        <w:jc w:val="left"/>
      </w:pPr>
      <w:r w:rsidRPr="000314BF">
        <w:rPr>
          <w:b/>
        </w:rPr>
        <w:t>Tabulka 1</w:t>
      </w:r>
      <w:r w:rsidR="005E7AD6">
        <w:rPr>
          <w:b/>
        </w:rPr>
        <w:t>5</w:t>
      </w:r>
      <w:r w:rsidRPr="000314BF">
        <w:rPr>
          <w:b/>
        </w:rPr>
        <w:t>: Vypsané výzvy v roce 2019 dle jednotlivých specifických cílů (SC)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04"/>
        <w:gridCol w:w="1645"/>
        <w:gridCol w:w="1967"/>
        <w:gridCol w:w="1864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Název výzvy</w:t>
            </w:r>
          </w:p>
        </w:tc>
        <w:tc>
          <w:tcPr>
            <w:tcW w:w="180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Příjem žádostí</w:t>
            </w:r>
          </w:p>
        </w:tc>
        <w:tc>
          <w:tcPr>
            <w:tcW w:w="1645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20"/>
                <w:szCs w:val="20"/>
              </w:rPr>
              <w:t>anční</w:t>
            </w:r>
            <w:r w:rsidRPr="00686B11">
              <w:rPr>
                <w:rFonts w:asciiTheme="minorHAnsi" w:hAnsiTheme="minorHAnsi"/>
                <w:sz w:val="20"/>
                <w:szCs w:val="20"/>
              </w:rPr>
              <w:t xml:space="preserve"> alokace</w:t>
            </w:r>
          </w:p>
        </w:tc>
        <w:tc>
          <w:tcPr>
            <w:tcW w:w="1967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Počet doporučených projektů</w:t>
            </w:r>
          </w:p>
        </w:tc>
        <w:tc>
          <w:tcPr>
            <w:tcW w:w="186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 xml:space="preserve">Příspěvek EU v </w:t>
            </w:r>
            <w:r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 xml:space="preserve">MŽP_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99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. výzva, PO3, SC 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804" w:type="dxa"/>
            <w:vAlign w:val="center"/>
          </w:tcPr>
          <w:p w:rsidR="00AC5815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200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584 081 644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18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. výzva, PO3, SC 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804" w:type="dxa"/>
            <w:vAlign w:val="center"/>
          </w:tcPr>
          <w:p w:rsidR="00AC5815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7F1D9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F1D9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7F1D9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F1D99">
              <w:rPr>
                <w:rFonts w:asciiTheme="minorHAnsi" w:hAnsiTheme="minorHAnsi"/>
                <w:sz w:val="20"/>
                <w:szCs w:val="20"/>
              </w:rPr>
              <w:t>85 412 429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26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výzva, PO3, SC 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2020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500 000 000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1 121 607 289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33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. výzva, PO3, 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2. 2019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250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206 409 114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4. výzva, PO3, 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9.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2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00 000 000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D99">
              <w:rPr>
                <w:rFonts w:ascii="Calibri" w:hAnsi="Calibri" w:cs="Calibri"/>
                <w:color w:val="000000"/>
                <w:sz w:val="20"/>
                <w:szCs w:val="20"/>
              </w:rPr>
              <w:t>91 613 991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73" w:rsidTr="007E5173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37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výzva, PO3, SC 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804" w:type="dxa"/>
            <w:vAlign w:val="center"/>
          </w:tcPr>
          <w:p w:rsidR="00AC5815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45" w:type="dxa"/>
          </w:tcPr>
          <w:p w:rsidR="00AC5815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7F1D9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F1D9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7F1D99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F1D9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AC5815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>
        <w:rPr>
          <w:rFonts w:eastAsia="Times New Roman" w:cs="Arial"/>
          <w:i/>
          <w:sz w:val="18"/>
          <w:szCs w:val="18"/>
          <w:lang w:eastAsia="cs-CZ"/>
        </w:rPr>
        <w:t>Zdroj: MŽP, SFŽP 2021</w:t>
      </w:r>
    </w:p>
    <w:p w:rsidR="00AC5815" w:rsidRDefault="00AC5815" w:rsidP="00AC5815">
      <w:pPr>
        <w:spacing w:after="120"/>
      </w:pPr>
    </w:p>
    <w:p w:rsidR="00AC5815" w:rsidRPr="001D3953" w:rsidRDefault="008C12E6" w:rsidP="00AC5815">
      <w:pPr>
        <w:pStyle w:val="Default"/>
        <w:spacing w:after="60"/>
        <w:rPr>
          <w:rFonts w:asciiTheme="minorHAnsi" w:hAnsiTheme="minorHAnsi"/>
          <w:b/>
        </w:rPr>
      </w:pPr>
      <w:r w:rsidRPr="000314BF">
        <w:rPr>
          <w:rFonts w:asciiTheme="minorHAnsi" w:hAnsiTheme="minorHAnsi"/>
          <w:b/>
        </w:rPr>
        <w:t>Tabulka 1</w:t>
      </w:r>
      <w:r w:rsidR="005E7AD6">
        <w:rPr>
          <w:rFonts w:asciiTheme="minorHAnsi" w:hAnsiTheme="minorHAnsi"/>
          <w:b/>
        </w:rPr>
        <w:t>6</w:t>
      </w:r>
      <w:r w:rsidRPr="000314BF">
        <w:rPr>
          <w:rFonts w:asciiTheme="minorHAnsi" w:hAnsiTheme="minorHAnsi"/>
          <w:b/>
        </w:rPr>
        <w:t>: Vypsané výzvy v roce 2020 dle jednotlivých specifických cílů (SC)</w:t>
      </w:r>
    </w:p>
    <w:tbl>
      <w:tblPr>
        <w:tblStyle w:val="Barevntabulkasmkou6zvraznn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04"/>
        <w:gridCol w:w="1645"/>
        <w:gridCol w:w="1967"/>
        <w:gridCol w:w="1864"/>
      </w:tblGrid>
      <w:tr w:rsidR="007E5173" w:rsidTr="007E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Název výzvy</w:t>
            </w:r>
          </w:p>
        </w:tc>
        <w:tc>
          <w:tcPr>
            <w:tcW w:w="180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Příjem žádostí</w:t>
            </w:r>
          </w:p>
        </w:tc>
        <w:tc>
          <w:tcPr>
            <w:tcW w:w="1645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20"/>
                <w:szCs w:val="20"/>
              </w:rPr>
              <w:t>anční</w:t>
            </w:r>
            <w:r w:rsidRPr="00686B11">
              <w:rPr>
                <w:rFonts w:asciiTheme="minorHAnsi" w:hAnsiTheme="minorHAnsi"/>
                <w:sz w:val="20"/>
                <w:szCs w:val="20"/>
              </w:rPr>
              <w:t xml:space="preserve"> alokace</w:t>
            </w:r>
          </w:p>
        </w:tc>
        <w:tc>
          <w:tcPr>
            <w:tcW w:w="1967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>Počet doporučených projektů</w:t>
            </w:r>
          </w:p>
        </w:tc>
        <w:tc>
          <w:tcPr>
            <w:tcW w:w="1864" w:type="dxa"/>
            <w:tcBorders>
              <w:bottom w:val="none" w:sz="0" w:space="0" w:color="auto"/>
            </w:tcBorders>
            <w:vAlign w:val="center"/>
          </w:tcPr>
          <w:p w:rsidR="00AC5815" w:rsidRPr="00686B11" w:rsidRDefault="008C12E6" w:rsidP="000C56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6B11">
              <w:rPr>
                <w:rFonts w:asciiTheme="minorHAnsi" w:hAnsiTheme="minorHAnsi"/>
                <w:sz w:val="20"/>
                <w:szCs w:val="20"/>
              </w:rPr>
              <w:t xml:space="preserve">Příspěvek EU v </w:t>
            </w:r>
            <w:r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22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. výzva, PO3, SC 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2020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  <w:p w:rsidR="00AC5815" w:rsidRPr="009F012D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5815" w:rsidRDefault="008C12E6" w:rsidP="000C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707 178 845</w:t>
            </w:r>
          </w:p>
          <w:p w:rsidR="00AC5815" w:rsidRPr="009F012D" w:rsidRDefault="00AC5815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73" w:rsidTr="007E51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50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. výzva, PO3, SC 3.2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500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Default="008C12E6" w:rsidP="000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  <w:p w:rsidR="00AC5815" w:rsidRPr="009F012D" w:rsidRDefault="00AC5815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5815" w:rsidRDefault="008C12E6" w:rsidP="000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588 988 224</w:t>
            </w:r>
          </w:p>
          <w:p w:rsidR="00AC5815" w:rsidRPr="009F012D" w:rsidRDefault="00AC5815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73" w:rsidTr="007E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MŽP_ 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53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. výzva, PO3, SC 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04" w:type="dxa"/>
            <w:vAlign w:val="center"/>
          </w:tcPr>
          <w:p w:rsidR="00AC5815" w:rsidRPr="009F012D" w:rsidRDefault="008C12E6" w:rsidP="000C56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9.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645" w:type="dxa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C018E">
              <w:rPr>
                <w:rFonts w:asciiTheme="minorHAnsi" w:hAnsiTheme="minorHAnsi"/>
                <w:sz w:val="20"/>
                <w:szCs w:val="20"/>
              </w:rPr>
              <w:t>173 842 215</w:t>
            </w:r>
          </w:p>
        </w:tc>
      </w:tr>
      <w:tr w:rsidR="007E5173" w:rsidTr="007E5173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:rsidR="00AC5815" w:rsidRPr="009F012D" w:rsidRDefault="008C12E6" w:rsidP="000C56C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 xml:space="preserve">MŽP_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155</w:t>
            </w:r>
            <w:r w:rsidRPr="009F012D">
              <w:rPr>
                <w:rFonts w:asciiTheme="minorHAnsi" w:hAnsiTheme="minorHAnsi"/>
                <w:b w:val="0"/>
                <w:sz w:val="20"/>
                <w:szCs w:val="20"/>
              </w:rPr>
              <w:t>. výzva, PO3, SC 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804" w:type="dxa"/>
            <w:vAlign w:val="center"/>
          </w:tcPr>
          <w:p w:rsidR="00AC5815" w:rsidRDefault="008C12E6" w:rsidP="000C56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. 20</w:t>
            </w: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645" w:type="dxa"/>
          </w:tcPr>
          <w:p w:rsidR="00AC5815" w:rsidRDefault="008C12E6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Pr="009F012D">
              <w:rPr>
                <w:rFonts w:asciiTheme="minorHAnsi" w:hAnsiTheme="minorHAnsi"/>
                <w:sz w:val="20"/>
                <w:szCs w:val="20"/>
              </w:rPr>
              <w:t> 000 000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18"/>
              </w:rPr>
            </w:pPr>
            <w:r w:rsidRPr="007F1D99">
              <w:rPr>
                <w:rFonts w:ascii="Calibri" w:hAnsi="Calibri" w:cs="Calibri"/>
                <w:color w:val="auto"/>
                <w:sz w:val="20"/>
                <w:szCs w:val="18"/>
              </w:rPr>
              <w:t>11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C5815" w:rsidRPr="007F1D99" w:rsidRDefault="008C12E6" w:rsidP="000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18"/>
              </w:rPr>
            </w:pPr>
            <w:r w:rsidRPr="007F1D99">
              <w:rPr>
                <w:rFonts w:ascii="Calibri" w:hAnsi="Calibri" w:cs="Calibri"/>
                <w:color w:val="auto"/>
                <w:sz w:val="20"/>
                <w:szCs w:val="18"/>
              </w:rPr>
              <w:t>31 515 706</w:t>
            </w:r>
          </w:p>
          <w:p w:rsidR="00AC5815" w:rsidRPr="007F1D99" w:rsidRDefault="00AC5815" w:rsidP="000C56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AC5815" w:rsidRDefault="008C12E6" w:rsidP="00AC5815">
      <w:pPr>
        <w:autoSpaceDE w:val="0"/>
        <w:autoSpaceDN w:val="0"/>
        <w:adjustRightInd w:val="0"/>
        <w:rPr>
          <w:rFonts w:eastAsia="Times New Roman" w:cs="Arial"/>
          <w:i/>
          <w:sz w:val="18"/>
          <w:szCs w:val="18"/>
          <w:lang w:eastAsia="cs-CZ"/>
        </w:rPr>
      </w:pPr>
      <w:r>
        <w:rPr>
          <w:rFonts w:eastAsia="Times New Roman" w:cs="Arial"/>
          <w:i/>
          <w:sz w:val="18"/>
          <w:szCs w:val="18"/>
          <w:lang w:eastAsia="cs-CZ"/>
        </w:rPr>
        <w:t>Zdroj: MŽP, SFŽP 2021</w:t>
      </w:r>
    </w:p>
    <w:p w:rsidR="00AC5815" w:rsidRDefault="00AC5815" w:rsidP="00AC5815"/>
    <w:p w:rsidR="00AC5815" w:rsidRDefault="008C12E6">
      <w:pPr>
        <w:spacing w:after="200" w:line="276" w:lineRule="auto"/>
        <w:jc w:val="left"/>
      </w:pPr>
      <w:r>
        <w:br w:type="page"/>
      </w:r>
    </w:p>
    <w:p w:rsidR="00600552" w:rsidRPr="000314BF" w:rsidRDefault="008C12E6" w:rsidP="00600552">
      <w:pPr>
        <w:spacing w:after="240"/>
        <w:rPr>
          <w:rFonts w:cstheme="minorHAnsi"/>
          <w:b/>
          <w:sz w:val="26"/>
          <w:szCs w:val="26"/>
          <w:u w:val="single"/>
        </w:rPr>
      </w:pPr>
      <w:r w:rsidRPr="000314BF">
        <w:rPr>
          <w:rFonts w:cstheme="minorHAnsi"/>
          <w:b/>
          <w:sz w:val="26"/>
          <w:szCs w:val="26"/>
          <w:u w:val="single"/>
        </w:rPr>
        <w:lastRenderedPageBreak/>
        <w:t xml:space="preserve">Předcházení vzniku odpadů </w:t>
      </w:r>
    </w:p>
    <w:p w:rsidR="00600552" w:rsidRPr="000314BF" w:rsidRDefault="008C12E6" w:rsidP="00600552">
      <w:pPr>
        <w:spacing w:after="120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 xml:space="preserve">Přehled aktivit v letech </w:t>
      </w:r>
      <w:r w:rsidR="005F3EC3" w:rsidRPr="000314BF">
        <w:rPr>
          <w:rFonts w:cstheme="minorHAnsi"/>
          <w:b/>
          <w:szCs w:val="24"/>
        </w:rPr>
        <w:t>2019</w:t>
      </w:r>
      <w:r w:rsidR="005F3EC3">
        <w:rPr>
          <w:rFonts w:cstheme="minorHAnsi"/>
          <w:b/>
          <w:szCs w:val="24"/>
        </w:rPr>
        <w:t>–2020</w:t>
      </w:r>
      <w:r w:rsidRPr="000314BF">
        <w:rPr>
          <w:rFonts w:cstheme="minorHAnsi"/>
          <w:b/>
          <w:szCs w:val="24"/>
        </w:rPr>
        <w:t xml:space="preserve"> k naplňování cílů Programu předcházení vzniku odpadů:</w:t>
      </w:r>
    </w:p>
    <w:p w:rsidR="00600552" w:rsidRPr="000314BF" w:rsidRDefault="008C12E6" w:rsidP="00600552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rPr>
          <w:rFonts w:cstheme="minorHAnsi"/>
          <w:b/>
        </w:rPr>
      </w:pPr>
      <w:r w:rsidRPr="000314BF">
        <w:rPr>
          <w:rFonts w:cstheme="minorHAnsi"/>
          <w:b/>
        </w:rPr>
        <w:t xml:space="preserve">Implementace Státního programu environmentálního vzdělávání, výchovy a osvěty (EVVO) a environmentálního poradenství (EP) na léta </w:t>
      </w:r>
      <w:r w:rsidR="005F3EC3" w:rsidRPr="000314BF">
        <w:rPr>
          <w:rFonts w:cstheme="minorHAnsi"/>
          <w:b/>
        </w:rPr>
        <w:t>2016</w:t>
      </w:r>
      <w:r w:rsidR="005F3EC3">
        <w:rPr>
          <w:rFonts w:cstheme="minorHAnsi"/>
          <w:b/>
        </w:rPr>
        <w:t>–2025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Státní program environmentálního vzdělávání, výchovy a osvěty a environmentálního poradenství na léta 2016–2025 byl </w:t>
      </w:r>
      <w:r w:rsidRPr="000314BF">
        <w:rPr>
          <w:rFonts w:cstheme="minorHAnsi"/>
        </w:rPr>
        <w:t>vládou schválen jako usnesení č. 652 dne 20.  července 2016. Jedná se o klíčovou národní strategii pro oblast EVVO i EP s vizemi, cíli a opatřeními, na nichž se vedle orgánů státní správy podílejí kraje, obce a města, školy, včetně škol vysokých, střediska</w:t>
      </w:r>
      <w:r w:rsidRPr="000314BF">
        <w:rPr>
          <w:rFonts w:cstheme="minorHAnsi"/>
        </w:rPr>
        <w:t xml:space="preserve"> ekologické výchovy a ekologické poradny i neziskové organizace, vzdělávací a výzkumné instituce, muzea, zoo, botanické zahrady, knihovny. Úspěšně pokračuje implementace tohoto programu, šíření povědomí, informací, jsou pořádány výukové a vzdělávací akce n</w:t>
      </w:r>
      <w:r w:rsidRPr="000314BF">
        <w:rPr>
          <w:rFonts w:cstheme="minorHAnsi"/>
        </w:rPr>
        <w:t xml:space="preserve">a všech úrovních. 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Jako součást environmentálního vzdělávání, výchovy a osvěty probíhá vzdělávání žáků mateřských, základních a středních škol v oblasti nakládání s odpady a předcházení vzniku odpadů prostřednictvím řady nestátních neziskových organizací a</w:t>
      </w:r>
      <w:r w:rsidRPr="000314BF">
        <w:rPr>
          <w:rFonts w:cstheme="minorHAnsi"/>
        </w:rPr>
        <w:t xml:space="preserve"> soukromých subjektů. 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Příkladem je projekt </w:t>
      </w:r>
      <w:r w:rsidRPr="000314BF">
        <w:rPr>
          <w:rFonts w:cstheme="minorHAnsi"/>
          <w:b/>
        </w:rPr>
        <w:t>„EKOABECEDA – Umíme žít bez odpadů?“</w:t>
      </w:r>
      <w:r w:rsidRPr="000314BF">
        <w:rPr>
          <w:rFonts w:cstheme="minorHAnsi"/>
        </w:rPr>
        <w:t xml:space="preserve">, který vznikl s finanční podporou Státního fondu životního prostředí (SFŽP). Výukový materiál „EKOABECEDA aneb Umíme žít bez odpadů?” vytvořila obecně prospěšná společnost </w:t>
      </w:r>
      <w:proofErr w:type="spellStart"/>
      <w:r w:rsidRPr="000314BF">
        <w:rPr>
          <w:rFonts w:cstheme="minorHAnsi"/>
        </w:rPr>
        <w:t>Rec</w:t>
      </w:r>
      <w:r w:rsidRPr="000314BF">
        <w:rPr>
          <w:rFonts w:cstheme="minorHAnsi"/>
        </w:rPr>
        <w:t>yklohraní</w:t>
      </w:r>
      <w:proofErr w:type="spellEnd"/>
      <w:r w:rsidRPr="000314BF">
        <w:rPr>
          <w:rFonts w:cstheme="minorHAnsi"/>
        </w:rPr>
        <w:t xml:space="preserve">, která organizuje dlouhodobý osvětový program pro školská zařízení na území České republiky pod názvem </w:t>
      </w:r>
      <w:proofErr w:type="spellStart"/>
      <w:r w:rsidRPr="000314BF">
        <w:rPr>
          <w:rFonts w:cstheme="minorHAnsi"/>
          <w:b/>
        </w:rPr>
        <w:t>Recyklohraní</w:t>
      </w:r>
      <w:proofErr w:type="spellEnd"/>
      <w:r w:rsidRPr="000314BF">
        <w:rPr>
          <w:rFonts w:cstheme="minorHAnsi"/>
          <w:b/>
        </w:rPr>
        <w:t xml:space="preserve"> aneb Ukliďme si svět</w:t>
      </w:r>
      <w:r w:rsidRPr="000314BF">
        <w:rPr>
          <w:rFonts w:cstheme="minorHAnsi"/>
        </w:rPr>
        <w:t xml:space="preserve"> je prezentován na webových stránkách </w:t>
      </w:r>
      <w:hyperlink r:id="rId19" w:history="1">
        <w:r w:rsidRPr="000314BF">
          <w:rPr>
            <w:rStyle w:val="Hypertextovodkaz"/>
            <w:rFonts w:cstheme="minorHAnsi"/>
          </w:rPr>
          <w:t>https://www.re</w:t>
        </w:r>
        <w:r w:rsidRPr="000314BF">
          <w:rPr>
            <w:rStyle w:val="Hypertextovodkaz"/>
            <w:rFonts w:cstheme="minorHAnsi"/>
          </w:rPr>
          <w:t>cyklohrani.cz/cs/ekoabeceda</w:t>
        </w:r>
      </w:hyperlink>
      <w:r w:rsidRPr="000314BF">
        <w:rPr>
          <w:rFonts w:cstheme="minorHAnsi"/>
        </w:rPr>
        <w:t xml:space="preserve">. Podněty a scénáře vyučovacích hodin k tématu „předcházení vzniku odpadů“ jsou připraveny pro </w:t>
      </w:r>
      <w:r w:rsidRPr="000314BF">
        <w:rPr>
          <w:rFonts w:cstheme="minorHAnsi"/>
          <w:bCs/>
        </w:rPr>
        <w:t>4</w:t>
      </w:r>
      <w:r w:rsidR="00B1748B" w:rsidRPr="000314BF">
        <w:rPr>
          <w:rFonts w:cstheme="minorHAnsi"/>
          <w:bCs/>
        </w:rPr>
        <w:t> </w:t>
      </w:r>
      <w:r w:rsidRPr="000314BF">
        <w:rPr>
          <w:rFonts w:cstheme="minorHAnsi"/>
          <w:bCs/>
        </w:rPr>
        <w:t>věkové kategorie od mateřských až po střední školy</w:t>
      </w:r>
      <w:r w:rsidRPr="000314BF">
        <w:rPr>
          <w:rFonts w:cstheme="minorHAnsi"/>
        </w:rPr>
        <w:t>.  Součástí projektu byla také série jednodenních seminářů pro školní koordinátory</w:t>
      </w:r>
      <w:r w:rsidRPr="000314BF">
        <w:rPr>
          <w:rFonts w:cstheme="minorHAnsi"/>
        </w:rPr>
        <w:t xml:space="preserve"> environmentálního vzdělávání, výchovy a osvěty ve všech krajích ČR. Jejich cílem bylo osobní seznámení s novým výukovým materiálem a jeho využívání v praxi. </w:t>
      </w:r>
    </w:p>
    <w:p w:rsidR="00600552" w:rsidRPr="000314BF" w:rsidRDefault="008C12E6" w:rsidP="00600552">
      <w:pPr>
        <w:pStyle w:val="Odstavecseseznamem"/>
        <w:numPr>
          <w:ilvl w:val="0"/>
          <w:numId w:val="5"/>
        </w:numPr>
        <w:spacing w:after="120" w:line="276" w:lineRule="auto"/>
        <w:ind w:left="714" w:hanging="357"/>
        <w:rPr>
          <w:rFonts w:cstheme="minorHAnsi"/>
          <w:b/>
          <w:bCs/>
        </w:rPr>
      </w:pPr>
      <w:r w:rsidRPr="000314BF">
        <w:rPr>
          <w:rFonts w:cstheme="minorHAnsi"/>
          <w:b/>
          <w:bCs/>
        </w:rPr>
        <w:t xml:space="preserve">Metodická a informační podpora MŽP </w:t>
      </w:r>
      <w:r w:rsidRPr="000314BF">
        <w:rPr>
          <w:rFonts w:cstheme="minorHAnsi"/>
          <w:b/>
        </w:rPr>
        <w:t xml:space="preserve">v oblasti předcházení vzniku odpadů 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V rámci projektu MŽP </w:t>
      </w:r>
      <w:r w:rsidRPr="000314BF">
        <w:rPr>
          <w:rFonts w:cstheme="minorHAnsi"/>
          <w:b/>
        </w:rPr>
        <w:t>„Hledání nových způsobů informační podpory při realizaci Programu předcházení vzniku odpadů ČR“ (TA ČR TB050MZP009)</w:t>
      </w:r>
      <w:r w:rsidRPr="000314BF">
        <w:rPr>
          <w:rFonts w:cstheme="minorHAnsi"/>
        </w:rPr>
        <w:t xml:space="preserve"> bylo připraveno několik metodik zaměřených na předcházení vzniku odpadů, letáky pro občany a</w:t>
      </w:r>
      <w:r w:rsidR="00B1748B" w:rsidRPr="000314BF">
        <w:rPr>
          <w:rFonts w:cstheme="minorHAnsi"/>
        </w:rPr>
        <w:t> </w:t>
      </w:r>
      <w:r w:rsidRPr="000314BF">
        <w:rPr>
          <w:rFonts w:cstheme="minorHAnsi"/>
        </w:rPr>
        <w:t>metodika pro začlenění problematiky předcházení</w:t>
      </w:r>
      <w:r w:rsidRPr="000314BF">
        <w:rPr>
          <w:rFonts w:cstheme="minorHAnsi"/>
        </w:rPr>
        <w:t xml:space="preserve"> vzniku odpadů pro jednotlivé stupně škol a mimoškolní výchovu. Projekt zajistil metodicky informační podporu o</w:t>
      </w:r>
      <w:r w:rsidR="00B1748B" w:rsidRPr="000314BF">
        <w:rPr>
          <w:rFonts w:cstheme="minorHAnsi"/>
        </w:rPr>
        <w:t> </w:t>
      </w:r>
      <w:r w:rsidRPr="000314BF">
        <w:rPr>
          <w:rFonts w:cstheme="minorHAnsi"/>
        </w:rPr>
        <w:t>problematice předcházení vzniku odpadů včetně zpracování metodiky problematiky pro vzdělávací proces a postupu uzavírání dobrovolných dohod a me</w:t>
      </w:r>
      <w:r w:rsidRPr="000314BF">
        <w:rPr>
          <w:rFonts w:cstheme="minorHAnsi"/>
        </w:rPr>
        <w:t>todiky pro systematické rozvíjení činnosti MŽP a dalších spolupracujících státních institucí a</w:t>
      </w:r>
      <w:r w:rsidR="00B1748B" w:rsidRPr="000314BF">
        <w:rPr>
          <w:rFonts w:cstheme="minorHAnsi"/>
        </w:rPr>
        <w:t> </w:t>
      </w:r>
      <w:r w:rsidRPr="000314BF">
        <w:rPr>
          <w:rFonts w:cstheme="minorHAnsi"/>
        </w:rPr>
        <w:t>institucí veřejné správy v oblasti předcházení vzniku odpadů.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lastRenderedPageBreak/>
        <w:t xml:space="preserve">Výstupy projektu jsou stále aktuální a hojně využívány, jedná se o: 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  <w:b/>
        </w:rPr>
      </w:pPr>
      <w:r w:rsidRPr="000314BF">
        <w:rPr>
          <w:rFonts w:cstheme="minorHAnsi"/>
          <w:b/>
        </w:rPr>
        <w:t>Metodiky: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Metodika pro uzavírá</w:t>
      </w:r>
      <w:r w:rsidRPr="000314BF">
        <w:rPr>
          <w:rFonts w:cstheme="minorHAnsi"/>
        </w:rPr>
        <w:t>ní dobrovolných dohod při předcházení vzniku odpadů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Metodika pro začlenění problematiky předcházení vzniku odpadů pro jednotlivé stupně škol a mimoškolní výchovu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</w:rPr>
        <w:t>Metodika pro systematické rozvíjení činnosti MŽP a dalších spolupracujících státních institu</w:t>
      </w:r>
      <w:r w:rsidRPr="000314BF">
        <w:rPr>
          <w:rFonts w:cstheme="minorHAnsi"/>
        </w:rPr>
        <w:t>cí a institucí veřejné správy v oblasti předcházení vzniku odpadů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  <w:b/>
        </w:rPr>
      </w:pPr>
      <w:r w:rsidRPr="000314BF">
        <w:rPr>
          <w:rFonts w:cstheme="minorHAnsi"/>
          <w:b/>
        </w:rPr>
        <w:t xml:space="preserve">Příručky: 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Průvodce předcházením vzniku odpadů v domácnosti. 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Průvodce předcházením vzniku odpadů na komunální úrovni. 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Průvodce předcházením vzniku odpadů z potravin v soukromém sektoru </w:t>
      </w:r>
      <w:r w:rsidRPr="000314BF">
        <w:rPr>
          <w:rFonts w:cstheme="minorHAnsi"/>
        </w:rPr>
        <w:t>pohostinství a stravování.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Průvodce předcházením vzniku stavebních odpadů. 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  <w:b/>
        </w:rPr>
      </w:pPr>
      <w:r w:rsidRPr="000314BF">
        <w:rPr>
          <w:rFonts w:cstheme="minorHAnsi"/>
          <w:b/>
        </w:rPr>
        <w:t>Letáky pro občany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Leták k plýtvání potravinami – Potraviny jsou cenné.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Leták k obalům – Doba obalová.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Leták k odpadním elektronickým zařízením – Domácí mazlíčci.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Leták k použitému </w:t>
      </w:r>
      <w:r w:rsidRPr="000314BF">
        <w:rPr>
          <w:rFonts w:cstheme="minorHAnsi"/>
        </w:rPr>
        <w:t>textilu – Balada z hadrů.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Leták k nábytku z domácnosti – Kdo má židli, ten bydlí.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Výše uvedené výstupy projektu jsou volně dostupné na stránkách MŽP, a i v období 2019 a 2020 byly v rámci osvěty a zvýšení povědomí o problematice předcházení vzniku odpadů d</w:t>
      </w:r>
      <w:r w:rsidRPr="000314BF">
        <w:rPr>
          <w:rFonts w:cstheme="minorHAnsi"/>
        </w:rPr>
        <w:t>istribuovány mezi odbornou i širokou veřejnost.</w:t>
      </w:r>
    </w:p>
    <w:p w:rsidR="00600552" w:rsidRPr="000314BF" w:rsidRDefault="008C12E6" w:rsidP="00600552">
      <w:pPr>
        <w:spacing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V oblasti předcházení vzniku odpadů se uskutečnily některé konference a semináře, jejichž cílem bylo informovat a vzdělávat odbornou i širokou veřejnost v problematice předcházení vzniku odpadů.  Počet konaný</w:t>
      </w:r>
      <w:r w:rsidRPr="000314BF">
        <w:rPr>
          <w:rFonts w:cstheme="minorHAnsi"/>
        </w:rPr>
        <w:t>ch akcí byl však v roce 2020 značně ovlivněn situací ohledně opatření proti šíření nemoci covid-19:</w:t>
      </w:r>
    </w:p>
    <w:p w:rsidR="00600552" w:rsidRPr="000314BF" w:rsidRDefault="008C12E6" w:rsidP="00600552">
      <w:pPr>
        <w:spacing w:after="60" w:line="276" w:lineRule="auto"/>
        <w:ind w:left="709"/>
        <w:rPr>
          <w:rFonts w:cstheme="minorHAnsi"/>
          <w:b/>
        </w:rPr>
      </w:pPr>
      <w:r w:rsidRPr="000314BF">
        <w:rPr>
          <w:rFonts w:cstheme="minorHAnsi"/>
          <w:b/>
        </w:rPr>
        <w:t>Konference, semináře a vzdělávací akce: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r w:rsidRPr="000314BF">
        <w:rPr>
          <w:rFonts w:cstheme="minorHAnsi"/>
        </w:rPr>
        <w:t>Konference „Předcházení vzniku odpadů 2019“ (říjen 2019) – 6. ročník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  <w:color w:val="000000"/>
        </w:rPr>
      </w:pPr>
      <w:r w:rsidRPr="000314BF">
        <w:rPr>
          <w:rFonts w:cstheme="minorHAnsi"/>
        </w:rPr>
        <w:t>Konference </w:t>
      </w:r>
      <w:r w:rsidR="002A71AE">
        <w:rPr>
          <w:rFonts w:cstheme="minorHAnsi"/>
        </w:rPr>
        <w:t>„</w:t>
      </w:r>
      <w:r w:rsidRPr="000314BF">
        <w:rPr>
          <w:rFonts w:cstheme="minorHAnsi"/>
        </w:rPr>
        <w:t>Možná opatření pro předcházení plý</w:t>
      </w:r>
      <w:r w:rsidRPr="000314BF">
        <w:rPr>
          <w:rFonts w:cstheme="minorHAnsi"/>
        </w:rPr>
        <w:t>tvání potravinami ve veřejném stravování</w:t>
      </w:r>
      <w:r w:rsidR="002A71AE">
        <w:rPr>
          <w:rFonts w:cstheme="minorHAnsi"/>
        </w:rPr>
        <w:t>“</w:t>
      </w:r>
      <w:r w:rsidRPr="000314BF">
        <w:rPr>
          <w:rFonts w:cstheme="minorHAnsi"/>
        </w:rPr>
        <w:t xml:space="preserve"> (listopad 2019)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  <w:color w:val="000000"/>
        </w:rPr>
      </w:pPr>
      <w:r w:rsidRPr="000314BF">
        <w:rPr>
          <w:rFonts w:cstheme="minorHAnsi"/>
        </w:rPr>
        <w:t xml:space="preserve">7. ročník Konference „Předcházení vzniku odpadů“ se v roce 2020 nekonal z důvodu opatření proti šíření nemoci covid-19, uskuteční se v náhradním termínu v dalším roce (2021), novinkou bude živý přenos se možností zpětného shlédnutí. 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r w:rsidRPr="000314BF">
        <w:rPr>
          <w:rFonts w:cstheme="minorHAnsi"/>
        </w:rPr>
        <w:lastRenderedPageBreak/>
        <w:t>Konference „Odpad zdro</w:t>
      </w:r>
      <w:r w:rsidRPr="000314BF">
        <w:rPr>
          <w:rFonts w:cstheme="minorHAnsi"/>
        </w:rPr>
        <w:t>jem“ (březen 2019) - 4. ročník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r w:rsidRPr="000314BF">
        <w:rPr>
          <w:rFonts w:cstheme="minorHAnsi"/>
        </w:rPr>
        <w:t>Konference „Odpad zdrojem“ (září 2020) - 5. ročník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r>
        <w:rPr>
          <w:rFonts w:cstheme="minorHAnsi"/>
        </w:rPr>
        <w:t>S</w:t>
      </w:r>
      <w:r w:rsidRPr="000314BF">
        <w:rPr>
          <w:rFonts w:cstheme="minorHAnsi"/>
        </w:rPr>
        <w:t>eminář „Potraviny – to není jen jídlo“, seminář nebylo možné vzhledem k</w:t>
      </w:r>
      <w:r w:rsidR="00B1748B" w:rsidRPr="000314BF">
        <w:rPr>
          <w:rFonts w:cstheme="minorHAnsi"/>
        </w:rPr>
        <w:t> </w:t>
      </w:r>
      <w:r w:rsidRPr="000314BF">
        <w:rPr>
          <w:rFonts w:cstheme="minorHAnsi"/>
        </w:rPr>
        <w:t>opatřením proti šíření nemoci covid-19 uspořádat a byl tak nahrazen WEB Seminářem, v jehož rámci pr</w:t>
      </w:r>
      <w:r w:rsidRPr="000314BF">
        <w:rPr>
          <w:rFonts w:cstheme="minorHAnsi"/>
        </w:rPr>
        <w:t xml:space="preserve">oběhla také přednáška na téma  </w:t>
      </w:r>
      <w:hyperlink r:id="rId20" w:history="1">
        <w:r w:rsidRPr="000314BF">
          <w:rPr>
            <w:rFonts w:cstheme="minorHAnsi"/>
            <w:bCs/>
          </w:rPr>
          <w:t>Prevence vzniku potravinového odpadu</w:t>
        </w:r>
      </w:hyperlink>
      <w:r>
        <w:rPr>
          <w:rFonts w:cstheme="minorHAnsi"/>
          <w:bCs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r w:rsidRPr="000314BF">
        <w:rPr>
          <w:rFonts w:cstheme="minorHAnsi"/>
        </w:rPr>
        <w:t xml:space="preserve">4. Evropské Technology </w:t>
      </w:r>
      <w:proofErr w:type="spellStart"/>
      <w:r w:rsidRPr="000314BF">
        <w:rPr>
          <w:rFonts w:cstheme="minorHAnsi"/>
        </w:rPr>
        <w:t>Assessment</w:t>
      </w:r>
      <w:proofErr w:type="spellEnd"/>
      <w:r w:rsidRPr="000314BF">
        <w:rPr>
          <w:rFonts w:cstheme="minorHAnsi"/>
        </w:rPr>
        <w:t xml:space="preserve"> konference, Bratislava" (listopad 20</w:t>
      </w:r>
      <w:r w:rsidRPr="000314BF">
        <w:rPr>
          <w:rFonts w:cstheme="minorHAnsi"/>
        </w:rPr>
        <w:t xml:space="preserve">19) - v rámci konference byl zástupci Technologického centra AV prezentován projekt </w:t>
      </w:r>
      <w:proofErr w:type="spellStart"/>
      <w:r w:rsidRPr="000314BF">
        <w:rPr>
          <w:rFonts w:cstheme="minorHAnsi"/>
        </w:rPr>
        <w:t>RedPot</w:t>
      </w:r>
      <w:proofErr w:type="spellEnd"/>
      <w:r w:rsidRPr="000314BF">
        <w:rPr>
          <w:rFonts w:cstheme="minorHAnsi"/>
        </w:rPr>
        <w:t xml:space="preserve"> – zaměřený na snížení potravinových ztrát, omezení plýtvání potravinami a předcházení vzniku potravinového odpadu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r w:rsidRPr="000314BF">
        <w:rPr>
          <w:rFonts w:cstheme="minorHAnsi"/>
        </w:rPr>
        <w:t>Mezinárodní konference Rychlost s tichostí – veřej</w:t>
      </w:r>
      <w:r w:rsidRPr="000314BF">
        <w:rPr>
          <w:rFonts w:cstheme="minorHAnsi"/>
        </w:rPr>
        <w:t>ný prostor 21. stol., (květen 2019) prezentováno téma Cirkulární ekonomika – využívání recyklátů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r w:rsidRPr="000314BF">
        <w:rPr>
          <w:rFonts w:cstheme="minorHAnsi"/>
        </w:rPr>
        <w:t>61. ročník mezinárodního strojírenského veletrhu v Brně, (říjen 2019), v jeho rámci se konal např. Workshop „CIRKULÁRNÍ EKONOMIKA V PRŮMYSLU ČR, byly prezento</w:t>
      </w:r>
      <w:r w:rsidRPr="000314BF">
        <w:rPr>
          <w:rFonts w:cstheme="minorHAnsi"/>
        </w:rPr>
        <w:t>vány příklady dobré praxe v této oblasti</w:t>
      </w:r>
      <w:r w:rsidR="002A71AE">
        <w:rPr>
          <w:rFonts w:cstheme="minorHAnsi"/>
        </w:rPr>
        <w:t>.</w:t>
      </w:r>
    </w:p>
    <w:p w:rsidR="00600552" w:rsidRPr="000314BF" w:rsidRDefault="008C12E6" w:rsidP="00600552">
      <w:pPr>
        <w:numPr>
          <w:ilvl w:val="0"/>
          <w:numId w:val="34"/>
        </w:numPr>
        <w:spacing w:after="120" w:line="276" w:lineRule="auto"/>
        <w:ind w:left="1276" w:hanging="357"/>
        <w:rPr>
          <w:rFonts w:cstheme="minorHAnsi"/>
        </w:rPr>
      </w:pPr>
      <w:proofErr w:type="spellStart"/>
      <w:r w:rsidRPr="000314BF">
        <w:rPr>
          <w:rFonts w:cstheme="minorHAnsi"/>
        </w:rPr>
        <w:t>Webináře</w:t>
      </w:r>
      <w:proofErr w:type="spellEnd"/>
      <w:r w:rsidRPr="000314BF">
        <w:rPr>
          <w:rFonts w:cstheme="minorHAnsi"/>
        </w:rPr>
        <w:t xml:space="preserve"> – Méně odpadu v obci I. - III. (listopad 2020), na kterých </w:t>
      </w:r>
      <w:proofErr w:type="gramStart"/>
      <w:r w:rsidRPr="000314BF">
        <w:rPr>
          <w:rFonts w:cstheme="minorHAnsi"/>
        </w:rPr>
        <w:t>Zelený</w:t>
      </w:r>
      <w:proofErr w:type="gramEnd"/>
      <w:r w:rsidRPr="000314BF">
        <w:rPr>
          <w:rFonts w:cstheme="minorHAnsi"/>
        </w:rPr>
        <w:t xml:space="preserve"> kruh a Národní síť zdravých měst s podporou MŽP představily některé nástroje k předcházení vzniku odpadů (třídění odpadů, způsob motivace o</w:t>
      </w:r>
      <w:r w:rsidRPr="000314BF">
        <w:rPr>
          <w:rFonts w:cstheme="minorHAnsi"/>
        </w:rPr>
        <w:t>bčanů, přípravu osvětových akcí a kampaní, zřizování re-use center…)</w:t>
      </w:r>
      <w:r w:rsidR="002A71AE">
        <w:rPr>
          <w:rFonts w:cstheme="minorHAnsi"/>
        </w:rPr>
        <w:t>.</w:t>
      </w:r>
    </w:p>
    <w:p w:rsidR="00600552" w:rsidRPr="000314BF" w:rsidRDefault="008C12E6" w:rsidP="00880896">
      <w:pPr>
        <w:numPr>
          <w:ilvl w:val="0"/>
          <w:numId w:val="34"/>
        </w:numPr>
        <w:spacing w:after="240" w:line="276" w:lineRule="auto"/>
        <w:ind w:left="1276" w:hanging="357"/>
        <w:rPr>
          <w:rFonts w:cstheme="minorHAnsi"/>
        </w:rPr>
      </w:pPr>
      <w:r>
        <w:rPr>
          <w:rFonts w:cstheme="minorHAnsi"/>
        </w:rPr>
        <w:t>K</w:t>
      </w:r>
      <w:r w:rsidRPr="000314BF">
        <w:rPr>
          <w:rFonts w:cstheme="minorHAnsi"/>
        </w:rPr>
        <w:t>urz Oběhového hospodářství 2019–2020 (VŠCHT Praha) – roční kurz nástavbového vysokoškolského studia celoživotního vzdělávání s názvem Oběhové hospodářství.</w:t>
      </w:r>
    </w:p>
    <w:p w:rsidR="00600552" w:rsidRPr="000314BF" w:rsidRDefault="008C12E6" w:rsidP="00600552">
      <w:pPr>
        <w:pStyle w:val="Odstavecseseznamem"/>
        <w:numPr>
          <w:ilvl w:val="0"/>
          <w:numId w:val="5"/>
        </w:numPr>
        <w:spacing w:after="60" w:line="276" w:lineRule="auto"/>
        <w:ind w:left="709" w:hanging="357"/>
        <w:jc w:val="left"/>
        <w:rPr>
          <w:rFonts w:cstheme="minorHAnsi"/>
          <w:b/>
          <w:u w:val="single"/>
        </w:rPr>
      </w:pPr>
      <w:r w:rsidRPr="000314BF">
        <w:rPr>
          <w:rFonts w:cstheme="minorHAnsi"/>
          <w:b/>
          <w:u w:val="single"/>
        </w:rPr>
        <w:t xml:space="preserve">Kampaň MŽP </w:t>
      </w:r>
      <w:r w:rsidRPr="000314BF">
        <w:rPr>
          <w:rFonts w:cstheme="minorHAnsi"/>
          <w:b/>
          <w:i/>
          <w:u w:val="single"/>
        </w:rPr>
        <w:t>„Dost bylo plastu“</w:t>
      </w:r>
    </w:p>
    <w:p w:rsidR="00571074" w:rsidRPr="000314BF" w:rsidRDefault="008C12E6" w:rsidP="00040F91">
      <w:pPr>
        <w:numPr>
          <w:ilvl w:val="0"/>
          <w:numId w:val="35"/>
        </w:numPr>
        <w:spacing w:after="120" w:line="276" w:lineRule="auto"/>
        <w:ind w:left="1276" w:hanging="357"/>
        <w:rPr>
          <w:rFonts w:cstheme="minorHAnsi"/>
          <w:color w:val="0000FF" w:themeColor="hyperlink"/>
          <w:u w:val="single"/>
        </w:rPr>
      </w:pPr>
      <w:r w:rsidRPr="000314BF">
        <w:rPr>
          <w:rFonts w:cstheme="minorHAnsi"/>
        </w:rPr>
        <w:t>MŽP v roce 2018 spustilo kampaň „Dost bylo plastu“. Jedná se o i</w:t>
      </w:r>
      <w:r w:rsidR="005C448A" w:rsidRPr="000314BF">
        <w:rPr>
          <w:rFonts w:cstheme="minorHAnsi"/>
        </w:rPr>
        <w:t>ni</w:t>
      </w:r>
      <w:r w:rsidRPr="000314BF">
        <w:rPr>
          <w:rFonts w:cstheme="minorHAnsi"/>
        </w:rPr>
        <w:t xml:space="preserve">ciativu proti nadužívání jednorázového plastového nádobí. MŽP prostřednictvím </w:t>
      </w:r>
      <w:hyperlink r:id="rId21" w:tgtFrame="_blank" w:history="1">
        <w:r w:rsidRPr="000314BF">
          <w:rPr>
            <w:rStyle w:val="Hypertextovodkaz"/>
            <w:rFonts w:cstheme="minorHAnsi"/>
          </w:rPr>
          <w:t>#</w:t>
        </w:r>
        <w:proofErr w:type="spellStart"/>
        <w:r w:rsidRPr="000314BF">
          <w:rPr>
            <w:rStyle w:val="Hypertextovodkaz"/>
            <w:rFonts w:cstheme="minorHAnsi"/>
          </w:rPr>
          <w:t>dostbyloplastu</w:t>
        </w:r>
        <w:proofErr w:type="spellEnd"/>
      </w:hyperlink>
      <w:r w:rsidRPr="000314BF">
        <w:rPr>
          <w:rFonts w:cstheme="minorHAnsi"/>
        </w:rPr>
        <w:t xml:space="preserve"> jednak pomohlo šířit osvětu o tématu</w:t>
      </w:r>
      <w:r w:rsidRPr="000314BF">
        <w:rPr>
          <w:rFonts w:cstheme="minorHAnsi"/>
        </w:rPr>
        <w:t xml:space="preserve"> a současně přijímá zpětnou vazbu o úskalích, na která občané narážejí, a snaží se o jejich aktivní řešení. MŽP uzavřelo dobrovolné dohody s řadou společností (</w:t>
      </w:r>
      <w:r w:rsidRPr="000314BF">
        <w:rPr>
          <w:rFonts w:ascii="Calibri" w:hAnsi="Calibri" w:cs="Tahoma"/>
        </w:rPr>
        <w:t xml:space="preserve">restauracemi a občerstveními v nákupních centrech, kavárnami, fast foody), </w:t>
      </w:r>
      <w:r w:rsidRPr="000314BF">
        <w:rPr>
          <w:rFonts w:cstheme="minorHAnsi"/>
        </w:rPr>
        <w:t xml:space="preserve">které se zavázaly ke </w:t>
      </w:r>
      <w:r w:rsidRPr="000314BF">
        <w:rPr>
          <w:rFonts w:cstheme="minorHAnsi"/>
        </w:rPr>
        <w:t xml:space="preserve">snížení spotřeby plastů a jednorázového nádobí ve svých provozech s cílem vytvořit pro zákazníky finančně únosné alternativy bez dopadu na životní prostředí. Tato aktivita </w:t>
      </w:r>
      <w:r w:rsidRPr="000314BF">
        <w:rPr>
          <w:rFonts w:ascii="Calibri" w:hAnsi="Calibri" w:cs="Tahoma"/>
        </w:rPr>
        <w:t>přispěla k omezení jednorázového plastového nádobí a plastových odpadů.</w:t>
      </w:r>
    </w:p>
    <w:p w:rsidR="00600552" w:rsidRPr="000314BF" w:rsidRDefault="008C12E6" w:rsidP="00040F91">
      <w:pPr>
        <w:numPr>
          <w:ilvl w:val="0"/>
          <w:numId w:val="35"/>
        </w:numPr>
        <w:spacing w:after="120" w:line="276" w:lineRule="auto"/>
        <w:ind w:left="1276" w:hanging="357"/>
        <w:rPr>
          <w:rFonts w:cstheme="minorHAnsi"/>
          <w:color w:val="0000FF" w:themeColor="hyperlink"/>
          <w:u w:val="single"/>
        </w:rPr>
      </w:pPr>
      <w:r w:rsidRPr="000314BF">
        <w:rPr>
          <w:rFonts w:cstheme="minorHAnsi"/>
        </w:rPr>
        <w:t xml:space="preserve">Od roku 2019 se mohou firmy, instituce i jednotlivci zapojit formou dobrovolných závazků na webových stránkách: </w:t>
      </w:r>
      <w:hyperlink r:id="rId22" w:history="1">
        <w:r w:rsidRPr="000314BF">
          <w:rPr>
            <w:rStyle w:val="Hypertextovodkaz"/>
            <w:rFonts w:cstheme="minorHAnsi"/>
          </w:rPr>
          <w:t>www.cr2030.cz</w:t>
        </w:r>
      </w:hyperlink>
      <w:r w:rsidRPr="000314BF">
        <w:rPr>
          <w:rFonts w:cstheme="minorHAnsi"/>
        </w:rPr>
        <w:t>.</w:t>
      </w:r>
    </w:p>
    <w:p w:rsidR="00600552" w:rsidRPr="000314BF" w:rsidRDefault="008C12E6" w:rsidP="00880896">
      <w:pPr>
        <w:numPr>
          <w:ilvl w:val="0"/>
          <w:numId w:val="35"/>
        </w:numPr>
        <w:spacing w:after="240" w:line="276" w:lineRule="auto"/>
        <w:ind w:left="1276" w:hanging="357"/>
        <w:rPr>
          <w:rFonts w:cstheme="minorHAnsi"/>
        </w:rPr>
      </w:pPr>
      <w:hyperlink r:id="rId23" w:tgtFrame="_blank" w:history="1">
        <w:r w:rsidRPr="000314BF">
          <w:rPr>
            <w:rStyle w:val="Hypertextovodkaz"/>
            <w:rFonts w:cstheme="minorHAnsi"/>
          </w:rPr>
          <w:t>Případová studie pro farmářské trhy bez jednorázového plastu (PDF)</w:t>
        </w:r>
      </w:hyperlink>
      <w:r w:rsidRPr="000314BF">
        <w:rPr>
          <w:rFonts w:cstheme="minorHAnsi"/>
        </w:rPr>
        <w:t xml:space="preserve"> </w:t>
      </w:r>
      <w:r w:rsidR="00571074" w:rsidRPr="000314BF">
        <w:rPr>
          <w:rFonts w:cstheme="minorHAnsi"/>
        </w:rPr>
        <w:t xml:space="preserve">– z </w:t>
      </w:r>
      <w:r w:rsidRPr="000314BF">
        <w:rPr>
          <w:rFonts w:cstheme="minorHAnsi"/>
        </w:rPr>
        <w:t>kampaně MŽP #</w:t>
      </w:r>
      <w:proofErr w:type="spellStart"/>
      <w:r w:rsidRPr="000314BF">
        <w:rPr>
          <w:rFonts w:cstheme="minorHAnsi"/>
        </w:rPr>
        <w:t>dostbyloplastu</w:t>
      </w:r>
      <w:proofErr w:type="spellEnd"/>
      <w:r w:rsidRPr="000314BF">
        <w:rPr>
          <w:rFonts w:cstheme="minorHAnsi"/>
        </w:rPr>
        <w:t xml:space="preserve"> vychází také projekt případové studie zpracované společností EEIP a.s., z</w:t>
      </w:r>
      <w:r w:rsidRPr="000314BF">
        <w:rPr>
          <w:rFonts w:cstheme="minorHAnsi"/>
        </w:rPr>
        <w:t> března roku 2019</w:t>
      </w:r>
      <w:r w:rsidR="00571074" w:rsidRPr="000314BF">
        <w:rPr>
          <w:rFonts w:cstheme="minorHAnsi"/>
        </w:rPr>
        <w:t>.</w:t>
      </w:r>
      <w:r w:rsidRPr="000314BF">
        <w:rPr>
          <w:rFonts w:cstheme="minorHAnsi"/>
        </w:rPr>
        <w:t xml:space="preserve"> </w:t>
      </w:r>
    </w:p>
    <w:p w:rsidR="00600552" w:rsidRPr="000314BF" w:rsidRDefault="008C12E6" w:rsidP="00600552">
      <w:pPr>
        <w:pStyle w:val="Odstavecseseznamem"/>
        <w:numPr>
          <w:ilvl w:val="0"/>
          <w:numId w:val="5"/>
        </w:numPr>
        <w:spacing w:after="60" w:line="276" w:lineRule="auto"/>
        <w:ind w:left="709" w:hanging="357"/>
        <w:jc w:val="left"/>
        <w:rPr>
          <w:rFonts w:cstheme="minorHAnsi"/>
          <w:b/>
          <w:u w:val="single"/>
        </w:rPr>
      </w:pPr>
      <w:r w:rsidRPr="000314BF">
        <w:rPr>
          <w:rFonts w:cstheme="minorHAnsi"/>
          <w:b/>
          <w:u w:val="single"/>
        </w:rPr>
        <w:t>Programy výzkumu a vývoje</w:t>
      </w:r>
    </w:p>
    <w:p w:rsidR="00600552" w:rsidRPr="000314BF" w:rsidRDefault="008C12E6" w:rsidP="00600552">
      <w:pPr>
        <w:numPr>
          <w:ilvl w:val="0"/>
          <w:numId w:val="35"/>
        </w:numPr>
        <w:spacing w:line="276" w:lineRule="auto"/>
        <w:ind w:left="1276"/>
        <w:rPr>
          <w:rFonts w:cstheme="minorHAnsi"/>
          <w:szCs w:val="24"/>
        </w:rPr>
      </w:pPr>
      <w:r w:rsidRPr="000314BF">
        <w:rPr>
          <w:rFonts w:cstheme="minorHAnsi"/>
        </w:rPr>
        <w:t>Programy Technologické agentury ČR (TAČR)</w:t>
      </w:r>
      <w:r w:rsidR="002A71AE">
        <w:rPr>
          <w:rFonts w:cstheme="minorHAnsi"/>
        </w:rPr>
        <w:t>.</w:t>
      </w:r>
    </w:p>
    <w:p w:rsidR="00600552" w:rsidRDefault="008C12E6" w:rsidP="00040F91">
      <w:pPr>
        <w:numPr>
          <w:ilvl w:val="0"/>
          <w:numId w:val="35"/>
        </w:numPr>
        <w:spacing w:after="240" w:line="276" w:lineRule="auto"/>
        <w:ind w:left="1276" w:hanging="357"/>
        <w:rPr>
          <w:rFonts w:cstheme="minorHAnsi"/>
        </w:rPr>
      </w:pPr>
      <w:r w:rsidRPr="000314BF">
        <w:rPr>
          <w:rFonts w:cstheme="minorHAnsi"/>
        </w:rPr>
        <w:t>Resortní programy výzkumu a vývoje</w:t>
      </w:r>
      <w:r w:rsidR="002A71AE">
        <w:rPr>
          <w:rFonts w:cstheme="minorHAnsi"/>
        </w:rPr>
        <w:t>.</w:t>
      </w:r>
    </w:p>
    <w:p w:rsidR="00D770E4" w:rsidRPr="00D770E4" w:rsidRDefault="008C12E6" w:rsidP="00AB08DC">
      <w:pPr>
        <w:numPr>
          <w:ilvl w:val="0"/>
          <w:numId w:val="5"/>
        </w:numPr>
        <w:spacing w:after="120" w:line="276" w:lineRule="auto"/>
        <w:ind w:left="714" w:hanging="357"/>
        <w:rPr>
          <w:rFonts w:cstheme="minorHAnsi"/>
          <w:b/>
          <w:u w:val="single"/>
        </w:rPr>
      </w:pPr>
      <w:r w:rsidRPr="00D770E4">
        <w:rPr>
          <w:rFonts w:cstheme="minorHAnsi"/>
          <w:b/>
          <w:u w:val="single"/>
        </w:rPr>
        <w:t>Činnost resortních výzkumných organizací v oblasti odpadů</w:t>
      </w:r>
    </w:p>
    <w:p w:rsidR="00AB08DC" w:rsidRPr="00AB08DC" w:rsidRDefault="008C12E6" w:rsidP="00AB08DC">
      <w:pPr>
        <w:spacing w:after="240" w:line="276" w:lineRule="auto"/>
        <w:ind w:left="556"/>
        <w:rPr>
          <w:rFonts w:cstheme="minorHAnsi"/>
        </w:rPr>
      </w:pPr>
      <w:r w:rsidRPr="00AB08DC">
        <w:rPr>
          <w:rFonts w:cstheme="minorHAnsi"/>
        </w:rPr>
        <w:t>Činnost výzkumných organizac</w:t>
      </w:r>
      <w:r>
        <w:rPr>
          <w:rFonts w:cstheme="minorHAnsi"/>
        </w:rPr>
        <w:t>í</w:t>
      </w:r>
      <w:r w:rsidRPr="00AB08DC">
        <w:rPr>
          <w:rFonts w:cstheme="minorHAnsi"/>
        </w:rPr>
        <w:t xml:space="preserve"> zřízených MŽP, které jsou příjemci instituc</w:t>
      </w:r>
      <w:r w:rsidRPr="00AB08DC">
        <w:rPr>
          <w:rFonts w:cstheme="minorHAnsi"/>
        </w:rPr>
        <w:t xml:space="preserve">ionální podpory na dlouhodobý koncepční rozvoj výzkumných organizací na léta 2018-2022. Částečně se ve své činnost také zabývají odpadovým a oběhovým hospodářstvím. </w:t>
      </w:r>
    </w:p>
    <w:p w:rsidR="00AB08DC" w:rsidRPr="00AB08DC" w:rsidRDefault="008C12E6" w:rsidP="00AB08DC">
      <w:pPr>
        <w:pStyle w:val="Odstavecseseznamem"/>
        <w:numPr>
          <w:ilvl w:val="0"/>
          <w:numId w:val="48"/>
        </w:numPr>
        <w:spacing w:after="240" w:line="276" w:lineRule="auto"/>
        <w:ind w:left="1276"/>
        <w:rPr>
          <w:rFonts w:cstheme="minorHAnsi"/>
        </w:rPr>
      </w:pPr>
      <w:r w:rsidRPr="00AB08DC">
        <w:rPr>
          <w:rFonts w:cstheme="minorHAnsi"/>
          <w:b/>
        </w:rPr>
        <w:t xml:space="preserve">Výzkumný ústav vodohospodářský TGM, </w:t>
      </w:r>
      <w:proofErr w:type="spellStart"/>
      <w:r w:rsidRPr="00AB08DC">
        <w:rPr>
          <w:rFonts w:cstheme="minorHAnsi"/>
          <w:b/>
        </w:rPr>
        <w:t>v.v.i</w:t>
      </w:r>
      <w:proofErr w:type="spellEnd"/>
      <w:r w:rsidRPr="00AB08DC">
        <w:rPr>
          <w:rFonts w:cstheme="minorHAnsi"/>
          <w:b/>
        </w:rPr>
        <w:t xml:space="preserve">. </w:t>
      </w:r>
      <w:r w:rsidRPr="00AB08DC">
        <w:rPr>
          <w:rFonts w:cstheme="minorHAnsi"/>
        </w:rPr>
        <w:t>–</w:t>
      </w:r>
      <w:r w:rsidRPr="00AB08DC">
        <w:rPr>
          <w:rFonts w:cstheme="minorHAnsi"/>
          <w:b/>
        </w:rPr>
        <w:t xml:space="preserve"> </w:t>
      </w:r>
      <w:r w:rsidRPr="00AB08DC">
        <w:rPr>
          <w:rFonts w:cstheme="minorHAnsi"/>
        </w:rPr>
        <w:t xml:space="preserve">zapojení do projektu CEVOOH, řešení témat: kaly z ČOV, potravinové odpady atd. </w:t>
      </w:r>
    </w:p>
    <w:p w:rsidR="00D770E4" w:rsidRPr="00AB08DC" w:rsidRDefault="008C12E6" w:rsidP="00AB08DC">
      <w:pPr>
        <w:pStyle w:val="Odstavecseseznamem"/>
        <w:numPr>
          <w:ilvl w:val="0"/>
          <w:numId w:val="48"/>
        </w:numPr>
        <w:spacing w:after="240" w:line="276" w:lineRule="auto"/>
        <w:ind w:left="1276"/>
        <w:rPr>
          <w:rFonts w:cstheme="minorHAnsi"/>
        </w:rPr>
      </w:pPr>
      <w:r w:rsidRPr="00AB08DC">
        <w:rPr>
          <w:rFonts w:cstheme="minorHAnsi"/>
          <w:b/>
        </w:rPr>
        <w:t>Česká geologická služba</w:t>
      </w:r>
      <w:r w:rsidR="00AB08DC" w:rsidRPr="00AB08DC">
        <w:rPr>
          <w:rFonts w:cstheme="minorHAnsi"/>
          <w:b/>
        </w:rPr>
        <w:t xml:space="preserve"> </w:t>
      </w:r>
      <w:r w:rsidR="00AB08DC" w:rsidRPr="00AB08DC">
        <w:rPr>
          <w:rFonts w:cstheme="minorHAnsi"/>
        </w:rPr>
        <w:t>–</w:t>
      </w:r>
      <w:r w:rsidR="00AB08DC" w:rsidRPr="00AB08DC">
        <w:rPr>
          <w:rFonts w:cstheme="minorHAnsi"/>
          <w:b/>
        </w:rPr>
        <w:t xml:space="preserve"> </w:t>
      </w:r>
      <w:r w:rsidR="00AB08DC" w:rsidRPr="00AB08DC">
        <w:rPr>
          <w:rFonts w:cstheme="minorHAnsi"/>
        </w:rPr>
        <w:t>řešení témat:</w:t>
      </w:r>
      <w:r w:rsidR="00AB08DC" w:rsidRPr="00AB08DC">
        <w:rPr>
          <w:rFonts w:cstheme="minorHAnsi"/>
          <w:b/>
        </w:rPr>
        <w:t xml:space="preserve"> </w:t>
      </w:r>
      <w:r w:rsidRPr="00AB08DC">
        <w:rPr>
          <w:rFonts w:cstheme="minorHAnsi"/>
        </w:rPr>
        <w:t>využití odpadů po těžbě</w:t>
      </w:r>
      <w:r w:rsidR="00AB08DC" w:rsidRPr="00AB08DC">
        <w:rPr>
          <w:rFonts w:cstheme="minorHAnsi"/>
        </w:rPr>
        <w:t xml:space="preserve">; </w:t>
      </w:r>
      <w:r w:rsidRPr="00AB08DC">
        <w:rPr>
          <w:rFonts w:cstheme="minorHAnsi"/>
        </w:rPr>
        <w:t>náhrad</w:t>
      </w:r>
      <w:r w:rsidR="00AB08DC" w:rsidRPr="00AB08DC">
        <w:rPr>
          <w:rFonts w:cstheme="minorHAnsi"/>
        </w:rPr>
        <w:t>a</w:t>
      </w:r>
      <w:r w:rsidRPr="00AB08DC">
        <w:rPr>
          <w:rFonts w:cstheme="minorHAnsi"/>
        </w:rPr>
        <w:t xml:space="preserve"> primárních zdrojů druhotnými zdroji</w:t>
      </w:r>
      <w:r w:rsidR="00AB08DC" w:rsidRPr="00AB08DC">
        <w:rPr>
          <w:rFonts w:cstheme="minorHAnsi"/>
        </w:rPr>
        <w:t xml:space="preserve"> atd.</w:t>
      </w:r>
    </w:p>
    <w:p w:rsidR="00D770E4" w:rsidRPr="00AB08DC" w:rsidRDefault="008C12E6" w:rsidP="00AB08DC">
      <w:pPr>
        <w:pStyle w:val="Odstavecseseznamem"/>
        <w:numPr>
          <w:ilvl w:val="0"/>
          <w:numId w:val="48"/>
        </w:numPr>
        <w:spacing w:after="360" w:line="276" w:lineRule="auto"/>
        <w:ind w:left="1276" w:hanging="357"/>
        <w:contextualSpacing w:val="0"/>
        <w:rPr>
          <w:rFonts w:cstheme="minorHAnsi"/>
        </w:rPr>
      </w:pPr>
      <w:r w:rsidRPr="00AB08DC">
        <w:rPr>
          <w:rFonts w:cstheme="minorHAnsi"/>
          <w:b/>
        </w:rPr>
        <w:t>Česká informační agentura životního prostředí</w:t>
      </w:r>
      <w:r w:rsidR="00AB08DC" w:rsidRPr="00AB08DC">
        <w:rPr>
          <w:rFonts w:cstheme="minorHAnsi"/>
          <w:b/>
        </w:rPr>
        <w:t xml:space="preserve"> </w:t>
      </w:r>
      <w:r w:rsidR="00AB08DC" w:rsidRPr="00AB08DC">
        <w:rPr>
          <w:rFonts w:cstheme="minorHAnsi"/>
        </w:rPr>
        <w:t>–</w:t>
      </w:r>
      <w:r w:rsidR="00AB08DC" w:rsidRPr="00AB08DC">
        <w:rPr>
          <w:rFonts w:cstheme="minorHAnsi"/>
          <w:b/>
        </w:rPr>
        <w:t xml:space="preserve"> </w:t>
      </w:r>
      <w:r w:rsidR="00AB08DC" w:rsidRPr="00AB08DC">
        <w:rPr>
          <w:rFonts w:cstheme="minorHAnsi"/>
        </w:rPr>
        <w:t>zapojení do projektu CEVOOH, řešení témat: zpracování a vyhodnocení dat odpadového a oběhového hospodářství, technologie nakládání s odpady atd</w:t>
      </w:r>
      <w:r w:rsidR="001D3305">
        <w:rPr>
          <w:rFonts w:cstheme="minorHAnsi"/>
        </w:rPr>
        <w:t>.</w:t>
      </w:r>
      <w:r w:rsidR="00AB08DC" w:rsidRPr="00AB08DC">
        <w:rPr>
          <w:rFonts w:cstheme="minorHAnsi"/>
        </w:rPr>
        <w:t xml:space="preserve">  </w:t>
      </w:r>
    </w:p>
    <w:p w:rsidR="00600552" w:rsidRPr="000314BF" w:rsidRDefault="008C12E6" w:rsidP="00600552">
      <w:pPr>
        <w:pStyle w:val="Odstavecseseznamem"/>
        <w:numPr>
          <w:ilvl w:val="0"/>
          <w:numId w:val="5"/>
        </w:numPr>
        <w:spacing w:after="60" w:line="276" w:lineRule="auto"/>
        <w:ind w:left="709" w:hanging="357"/>
        <w:jc w:val="left"/>
        <w:rPr>
          <w:rFonts w:cstheme="minorHAnsi"/>
          <w:b/>
          <w:szCs w:val="24"/>
          <w:u w:val="single"/>
        </w:rPr>
      </w:pPr>
      <w:r w:rsidRPr="000314BF">
        <w:rPr>
          <w:rFonts w:cstheme="minorHAnsi"/>
          <w:b/>
          <w:u w:val="single"/>
        </w:rPr>
        <w:t xml:space="preserve">Další </w:t>
      </w:r>
      <w:r w:rsidRPr="000314BF">
        <w:rPr>
          <w:rFonts w:cstheme="minorHAnsi"/>
          <w:b/>
          <w:szCs w:val="24"/>
          <w:u w:val="single"/>
        </w:rPr>
        <w:t>informační aktivity v oblasti předcházení vzniku odpadu</w:t>
      </w:r>
    </w:p>
    <w:p w:rsidR="00600552" w:rsidRPr="000314BF" w:rsidRDefault="008C12E6" w:rsidP="005C448A">
      <w:pPr>
        <w:spacing w:line="276" w:lineRule="auto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Zvyšování povědomí o předcházení vzniku odpadu se v ČR věnu</w:t>
      </w:r>
      <w:r w:rsidRPr="000314BF">
        <w:rPr>
          <w:rFonts w:cstheme="minorHAnsi"/>
          <w:szCs w:val="24"/>
        </w:rPr>
        <w:t xml:space="preserve">je řada organizací a iniciativ, např.:  </w:t>
      </w:r>
    </w:p>
    <w:p w:rsidR="00600552" w:rsidRPr="000314BF" w:rsidRDefault="008C12E6" w:rsidP="005C448A">
      <w:pPr>
        <w:pStyle w:val="Odstavecseseznamem"/>
        <w:spacing w:after="120" w:line="276" w:lineRule="auto"/>
        <w:ind w:left="1276"/>
        <w:rPr>
          <w:rStyle w:val="Hypertextovodkaz"/>
          <w:rFonts w:cstheme="minorHAnsi"/>
          <w:szCs w:val="24"/>
        </w:rPr>
      </w:pPr>
      <w:hyperlink r:id="rId24" w:history="1">
        <w:r w:rsidRPr="000314BF">
          <w:rPr>
            <w:rStyle w:val="Hypertextovodkaz"/>
            <w:rFonts w:cstheme="minorHAnsi"/>
            <w:szCs w:val="24"/>
          </w:rPr>
          <w:t>http://www.tretiruka.cz/media-a-odpady/predchazeni-vzniku-odpadu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25" w:history="1">
        <w:r w:rsidRPr="000314BF">
          <w:rPr>
            <w:rStyle w:val="Hypertextovodkaz"/>
            <w:rFonts w:cstheme="minorHAnsi"/>
            <w:szCs w:val="24"/>
          </w:rPr>
          <w:t>http://pvo.arnika.org/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w:history="1">
        <w:r w:rsidRPr="000314BF">
          <w:rPr>
            <w:rStyle w:val="Hypertextovodkaz"/>
            <w:rFonts w:cstheme="minorHAnsi"/>
            <w:szCs w:val="24"/>
          </w:rPr>
          <w:t xml:space="preserve">https://bezobalu.org </w:t>
        </w:r>
      </w:hyperlink>
      <w:r w:rsidRPr="000314BF">
        <w:rPr>
          <w:rStyle w:val="Hypertextovodkaz"/>
          <w:rFonts w:cstheme="minorHAnsi"/>
          <w:szCs w:val="24"/>
        </w:rPr>
        <w:t xml:space="preserve"> </w:t>
      </w:r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26" w:history="1">
        <w:r w:rsidRPr="000314BF">
          <w:rPr>
            <w:rStyle w:val="Hypertextovodkaz"/>
            <w:rFonts w:cstheme="minorHAnsi"/>
            <w:szCs w:val="24"/>
          </w:rPr>
          <w:t>https://www.enviweb.cz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27" w:history="1">
        <w:r w:rsidRPr="000314BF">
          <w:rPr>
            <w:rStyle w:val="Hypertextovodkaz"/>
            <w:rFonts w:cstheme="minorHAnsi"/>
            <w:szCs w:val="24"/>
          </w:rPr>
          <w:t>https://zijudrzitelne.bezobalu.org/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28" w:history="1">
        <w:r w:rsidRPr="000314BF">
          <w:rPr>
            <w:rStyle w:val="Hypertextovodkaz"/>
            <w:rFonts w:cstheme="minorHAnsi"/>
            <w:szCs w:val="24"/>
          </w:rPr>
          <w:t>https://www.potravinynejsouodpad.cz/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29" w:history="1">
        <w:r w:rsidRPr="000314BF">
          <w:rPr>
            <w:rStyle w:val="Hypertextovodkaz"/>
            <w:rFonts w:cstheme="minorHAnsi"/>
            <w:szCs w:val="24"/>
          </w:rPr>
          <w:t>https://zachranjidlo.cz/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0" w:history="1">
        <w:r w:rsidRPr="000314BF">
          <w:rPr>
            <w:rStyle w:val="Hypertextovodkaz"/>
            <w:rFonts w:cstheme="minorHAnsi"/>
            <w:szCs w:val="24"/>
          </w:rPr>
          <w:t>https://hub.cirkularnicesko.cz</w:t>
        </w:r>
      </w:hyperlink>
      <w:r w:rsidRPr="000314BF">
        <w:rPr>
          <w:rStyle w:val="Hypertextovodkaz"/>
          <w:rFonts w:cstheme="minorHAnsi"/>
          <w:szCs w:val="24"/>
        </w:rPr>
        <w:t xml:space="preserve"> </w:t>
      </w:r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1" w:history="1">
        <w:r w:rsidRPr="000314BF">
          <w:rPr>
            <w:rStyle w:val="Hypertextovodkaz"/>
            <w:rFonts w:cstheme="minorHAnsi"/>
            <w:szCs w:val="24"/>
          </w:rPr>
          <w:t>https://redpot.strast.cz/cs</w:t>
        </w:r>
      </w:hyperlink>
      <w:r w:rsidRPr="000314BF">
        <w:rPr>
          <w:rStyle w:val="Hypertextovodkaz"/>
          <w:rFonts w:cstheme="minorHAnsi"/>
          <w:szCs w:val="24"/>
        </w:rPr>
        <w:t xml:space="preserve"> </w:t>
      </w:r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2" w:history="1">
        <w:r w:rsidRPr="000314BF">
          <w:rPr>
            <w:rStyle w:val="Hypertextovodkaz"/>
            <w:rFonts w:cstheme="minorHAnsi"/>
            <w:szCs w:val="24"/>
          </w:rPr>
          <w:t>https://www.mojeodpadky.cz/sleva-za-trideni/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3" w:history="1">
        <w:r w:rsidRPr="000314BF">
          <w:rPr>
            <w:rStyle w:val="Hypertextovodkaz"/>
            <w:rFonts w:cstheme="minorHAnsi"/>
            <w:szCs w:val="24"/>
          </w:rPr>
          <w:t>https://udrzitelnypalacky.upol.cz/dolej-si/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4" w:history="1">
        <w:r w:rsidRPr="000314BF">
          <w:rPr>
            <w:rStyle w:val="Hypertextovodkaz"/>
            <w:rFonts w:cstheme="minorHAnsi"/>
            <w:szCs w:val="24"/>
          </w:rPr>
          <w:t>https</w:t>
        </w:r>
        <w:r w:rsidRPr="000314BF">
          <w:rPr>
            <w:rStyle w:val="Hypertextovodkaz"/>
            <w:rFonts w:cstheme="minorHAnsi"/>
            <w:szCs w:val="24"/>
          </w:rPr>
          <w:t>://www.trashhero.cz/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r w:rsidRPr="000314BF">
        <w:rPr>
          <w:rStyle w:val="Hypertextovodkaz"/>
          <w:rFonts w:cstheme="minorHAnsi"/>
          <w:szCs w:val="24"/>
        </w:rPr>
        <w:t>https://www.sbirkapotravin.cz</w:t>
      </w:r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5" w:history="1">
        <w:r w:rsidRPr="000314BF">
          <w:rPr>
            <w:rStyle w:val="Hypertextovodkaz"/>
            <w:rFonts w:cstheme="minorHAnsi"/>
            <w:szCs w:val="24"/>
          </w:rPr>
          <w:t>https://www.druhyzivotnabytku.cz/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6" w:history="1">
        <w:r w:rsidRPr="000314BF">
          <w:rPr>
            <w:rStyle w:val="Hypertextovodkaz"/>
            <w:rFonts w:cstheme="minorHAnsi"/>
            <w:szCs w:val="24"/>
          </w:rPr>
          <w:t>https://www.swapprague.cz/</w:t>
        </w:r>
      </w:hyperlink>
      <w:hyperlink r:id="rId37" w:tgtFrame="_blank" w:history="1">
        <w:r w:rsidRPr="000314BF">
          <w:rPr>
            <w:rStyle w:val="Hypertextovodkaz"/>
            <w:rFonts w:cstheme="minorHAnsi"/>
            <w:szCs w:val="24"/>
          </w:rPr>
          <w:t>​</w:t>
        </w:r>
      </w:hyperlink>
    </w:p>
    <w:p w:rsidR="00600552" w:rsidRPr="000314BF" w:rsidRDefault="008C12E6" w:rsidP="00600552">
      <w:pPr>
        <w:pStyle w:val="Odstavecseseznamem"/>
        <w:spacing w:before="120" w:after="120" w:line="276" w:lineRule="auto"/>
        <w:ind w:left="1276"/>
        <w:rPr>
          <w:rStyle w:val="Hypertextovodkaz"/>
          <w:rFonts w:cstheme="minorHAnsi"/>
          <w:szCs w:val="24"/>
        </w:rPr>
      </w:pPr>
      <w:hyperlink r:id="rId38" w:history="1">
        <w:r w:rsidRPr="000314BF">
          <w:rPr>
            <w:rStyle w:val="Hypertextovodkaz"/>
            <w:rFonts w:cstheme="minorHAnsi"/>
            <w:szCs w:val="24"/>
          </w:rPr>
          <w:t>https://www.cyrkl.com/cs/</w:t>
        </w:r>
      </w:hyperlink>
    </w:p>
    <w:p w:rsidR="00600552" w:rsidRPr="000314BF" w:rsidRDefault="008C12E6" w:rsidP="002631AB">
      <w:pPr>
        <w:pStyle w:val="Odstavecseseznamem"/>
        <w:spacing w:before="120" w:after="360" w:line="276" w:lineRule="auto"/>
        <w:ind w:left="1276"/>
        <w:contextualSpacing w:val="0"/>
        <w:rPr>
          <w:b/>
          <w:szCs w:val="24"/>
          <w:u w:val="single"/>
        </w:rPr>
      </w:pPr>
      <w:hyperlink r:id="rId39" w:history="1">
        <w:r w:rsidRPr="000314BF">
          <w:rPr>
            <w:rStyle w:val="Hypertextovodkaz"/>
            <w:rFonts w:cstheme="minorHAnsi"/>
            <w:szCs w:val="24"/>
          </w:rPr>
          <w:t>http://www.recyklujmestavby.cz/</w:t>
        </w:r>
      </w:hyperlink>
    </w:p>
    <w:p w:rsidR="00C22BA3" w:rsidRPr="000314BF" w:rsidRDefault="008C12E6" w:rsidP="00C22BA3">
      <w:pPr>
        <w:pStyle w:val="Odstavecseseznamem"/>
        <w:numPr>
          <w:ilvl w:val="0"/>
          <w:numId w:val="5"/>
        </w:numPr>
        <w:spacing w:after="60" w:line="276" w:lineRule="auto"/>
        <w:ind w:left="709" w:hanging="357"/>
        <w:jc w:val="left"/>
        <w:rPr>
          <w:rFonts w:cstheme="minorHAnsi"/>
          <w:b/>
          <w:szCs w:val="24"/>
          <w:u w:val="single"/>
        </w:rPr>
      </w:pPr>
      <w:r w:rsidRPr="000314BF">
        <w:rPr>
          <w:rFonts w:cstheme="minorHAnsi"/>
          <w:b/>
          <w:szCs w:val="24"/>
          <w:u w:val="single"/>
        </w:rPr>
        <w:t>Operační program Životní prostředí 2014–2020</w:t>
      </w:r>
      <w:r w:rsidR="00F96061" w:rsidRPr="000314BF">
        <w:rPr>
          <w:rFonts w:cstheme="minorHAnsi"/>
          <w:b/>
          <w:szCs w:val="24"/>
          <w:u w:val="single"/>
        </w:rPr>
        <w:t xml:space="preserve"> (MŽP)</w:t>
      </w:r>
    </w:p>
    <w:p w:rsidR="00C22BA3" w:rsidRPr="000314BF" w:rsidRDefault="008C12E6" w:rsidP="00C22BA3">
      <w:pPr>
        <w:spacing w:before="120" w:after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szCs w:val="24"/>
        </w:rPr>
        <w:t xml:space="preserve">V rámci Operačního programu Životní prostředí 2014–2020 je na oblast odpadů zaměřena </w:t>
      </w:r>
      <w:r w:rsidRPr="000314BF">
        <w:rPr>
          <w:rFonts w:cstheme="minorHAnsi"/>
          <w:b/>
          <w:szCs w:val="24"/>
        </w:rPr>
        <w:t>Prioritní osa 3</w:t>
      </w:r>
      <w:r w:rsidRPr="000314BF">
        <w:rPr>
          <w:rFonts w:cstheme="minorHAnsi"/>
          <w:szCs w:val="24"/>
        </w:rPr>
        <w:t xml:space="preserve"> a specificky na předcházení vzniku odpadů Specifický cíl 3. 1 Prevence vzniku odpadů. </w:t>
      </w:r>
      <w:r w:rsidRPr="000314BF">
        <w:rPr>
          <w:rFonts w:cstheme="minorHAnsi"/>
          <w:b/>
          <w:szCs w:val="24"/>
        </w:rPr>
        <w:t xml:space="preserve"> </w:t>
      </w:r>
    </w:p>
    <w:p w:rsidR="00C22BA3" w:rsidRPr="000314BF" w:rsidRDefault="008C12E6" w:rsidP="00C22BA3">
      <w:pPr>
        <w:spacing w:before="120" w:after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>Specifický cíl 3.1 - Prevence vzniku odpadů:</w:t>
      </w:r>
    </w:p>
    <w:p w:rsidR="00C22BA3" w:rsidRPr="000314BF" w:rsidRDefault="008C12E6" w:rsidP="00C22BA3">
      <w:pPr>
        <w:pStyle w:val="Odstavecseseznamem"/>
        <w:numPr>
          <w:ilvl w:val="0"/>
          <w:numId w:val="24"/>
        </w:numPr>
        <w:spacing w:before="120" w:after="120" w:line="276" w:lineRule="auto"/>
        <w:ind w:left="1134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Aktivita 3. 1. 1. - Předcházení vzniku komunálních odpadů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2932A0">
      <w:pPr>
        <w:pStyle w:val="Odstavecseseznamem"/>
        <w:numPr>
          <w:ilvl w:val="0"/>
          <w:numId w:val="24"/>
        </w:numPr>
        <w:spacing w:before="120" w:after="240" w:line="276" w:lineRule="auto"/>
        <w:ind w:left="1134" w:hanging="357"/>
        <w:contextualSpacing w:val="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Aktivita 3. 1. 2 - Předcházení vzniku průmyslových odpadů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after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>Přeh</w:t>
      </w:r>
      <w:r w:rsidRPr="000314BF">
        <w:rPr>
          <w:rFonts w:cstheme="minorHAnsi"/>
          <w:b/>
          <w:szCs w:val="24"/>
        </w:rPr>
        <w:t>led výzev vyhlášených v rámci specifického cíle 3.1.:</w:t>
      </w:r>
    </w:p>
    <w:p w:rsidR="00C22BA3" w:rsidRPr="000314BF" w:rsidRDefault="008C12E6" w:rsidP="00C22BA3">
      <w:pPr>
        <w:spacing w:before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>40. výzva PO 3, OPŽP 2014–2020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Příjem žádostí: 1. 9. 2016 – 30. 11. 2016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Alokace: 100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Podporované aktivity: předcházení vzniku komunálních odpadů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Podpořeno: celkem 132 projektů za cca 281 </w:t>
      </w:r>
      <w:r w:rsidRPr="000314BF">
        <w:rPr>
          <w:rFonts w:cstheme="minorHAnsi"/>
          <w:szCs w:val="24"/>
        </w:rPr>
        <w:t>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>68. výzva PO 3, OPŽP 2014–2020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Příjem žádostí: 3. 4. 2017 – 31. 7.2017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Alokace: 600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Podporované aktivity: předcházení vzniku komunálních odpadů, předcházení vzniku průmyslových odpadů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Podpořeno: celkem 242 projektů za cca 323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>8</w:t>
      </w:r>
      <w:r w:rsidRPr="000314BF">
        <w:rPr>
          <w:rFonts w:cstheme="minorHAnsi"/>
          <w:b/>
          <w:szCs w:val="24"/>
        </w:rPr>
        <w:t xml:space="preserve">4. výzva PO 3, OPŽP 2014–2020 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Výzva se vztahuje na individuální integrované projekty v rámci Integrovaných územních investic (ITI).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Příjem žádostí: 3. 4. 2017 – 31. 5. 2019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Alokace: 30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Podporované aktivity: předcházení vzniku komunálních odpadů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Podpořeno: celkem 3 projekty za cca 11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>103. výzva PO 3, OPŽP 2014–2020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Příjem žádostí: 3. 4. 2018 – 31. 7. 2018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Alokace: 500 mil. Kč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Podporované aktivity: </w:t>
      </w:r>
    </w:p>
    <w:p w:rsidR="00C22BA3" w:rsidRPr="000314BF" w:rsidRDefault="008C12E6" w:rsidP="00C22BA3">
      <w:pPr>
        <w:spacing w:before="120" w:after="120" w:line="276" w:lineRule="auto"/>
        <w:ind w:left="786" w:firstLine="348"/>
        <w:rPr>
          <w:rFonts w:cstheme="minorHAnsi"/>
          <w:i/>
          <w:szCs w:val="24"/>
          <w:u w:val="single"/>
        </w:rPr>
      </w:pPr>
      <w:r w:rsidRPr="000314BF">
        <w:rPr>
          <w:rFonts w:cstheme="minorHAnsi"/>
          <w:i/>
          <w:szCs w:val="24"/>
          <w:u w:val="single"/>
        </w:rPr>
        <w:t>Předcházení vzniku komunálních odpadů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Prevence vzniku textilního a oděvního odpadu; 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lastRenderedPageBreak/>
        <w:t>Budov</w:t>
      </w:r>
      <w:r w:rsidRPr="000314BF">
        <w:rPr>
          <w:rFonts w:cstheme="minorHAnsi"/>
          <w:szCs w:val="24"/>
        </w:rPr>
        <w:t>ání míst pro předcházení vzniku komunálních odpadů (RE-USE centra);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Vybudování nebo rozšíření infrastruktury potravinových bank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after="120" w:line="276" w:lineRule="auto"/>
        <w:ind w:left="786" w:firstLine="348"/>
        <w:rPr>
          <w:rFonts w:cstheme="minorHAnsi"/>
          <w:i/>
          <w:szCs w:val="24"/>
          <w:u w:val="single"/>
        </w:rPr>
      </w:pPr>
      <w:r w:rsidRPr="000314BF">
        <w:rPr>
          <w:rFonts w:cstheme="minorHAnsi"/>
          <w:i/>
          <w:szCs w:val="24"/>
          <w:u w:val="single"/>
        </w:rPr>
        <w:t>Předcházení vzniku průmyslových odpadů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Realizace nebo modernizace technologie, jejichž výstupem bude menší množství </w:t>
      </w:r>
      <w:r w:rsidRPr="000314BF">
        <w:rPr>
          <w:rFonts w:cstheme="minorHAnsi"/>
          <w:szCs w:val="24"/>
        </w:rPr>
        <w:t>produkovaného odpadu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Podpořeno: celkem 218 projektů za cca 348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 xml:space="preserve">122. výzva PO 3, OPŽP 2014–2020 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Příjem žádostí: 1. 4. 2020 – 30. 7. 2020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Alokace: 250 mil. Kč, která byla následně navýšena na 707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Podporované aktivity: </w:t>
      </w:r>
    </w:p>
    <w:p w:rsidR="00C22BA3" w:rsidRPr="000314BF" w:rsidRDefault="008C12E6" w:rsidP="00C22BA3">
      <w:pPr>
        <w:spacing w:before="120" w:after="120" w:line="276" w:lineRule="auto"/>
        <w:ind w:left="786" w:firstLine="348"/>
        <w:rPr>
          <w:rFonts w:cstheme="minorHAnsi"/>
          <w:i/>
          <w:szCs w:val="24"/>
          <w:u w:val="single"/>
        </w:rPr>
      </w:pPr>
      <w:r w:rsidRPr="000314BF">
        <w:rPr>
          <w:rFonts w:cstheme="minorHAnsi"/>
          <w:i/>
          <w:szCs w:val="24"/>
          <w:u w:val="single"/>
        </w:rPr>
        <w:t>Předcházení vzniku</w:t>
      </w:r>
      <w:r w:rsidRPr="000314BF">
        <w:rPr>
          <w:rFonts w:cstheme="minorHAnsi"/>
          <w:i/>
          <w:szCs w:val="24"/>
          <w:u w:val="single"/>
        </w:rPr>
        <w:t xml:space="preserve"> komunálních odpadů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Předcházení vzniku biologicky rozložitelných komunálních odpadů prostřednictvím domácích kompostérů pro občany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Předcházení vzniku textilního a oděvního odpadu, a to prostřednictvím rozšíření/vybudování sběrné sítě kontejnerů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Budování </w:t>
      </w:r>
      <w:r w:rsidRPr="000314BF">
        <w:rPr>
          <w:rFonts w:cstheme="minorHAnsi"/>
          <w:szCs w:val="24"/>
        </w:rPr>
        <w:t>míst pro předcházení vzniku komunálních odpadů (RE-USE centra)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Vybudování/rozšíření infrastruktury projektů předcházení vzniku jednorázového nádobí nebo jednorázových obalů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after="120" w:line="276" w:lineRule="auto"/>
        <w:ind w:left="1134"/>
        <w:rPr>
          <w:rFonts w:cstheme="minorHAnsi"/>
          <w:szCs w:val="24"/>
        </w:rPr>
      </w:pPr>
      <w:r w:rsidRPr="000314BF">
        <w:rPr>
          <w:rFonts w:cstheme="minorHAnsi"/>
          <w:i/>
          <w:szCs w:val="24"/>
          <w:u w:val="single"/>
        </w:rPr>
        <w:t>Předcházení vzniku průmyslových odpadů</w:t>
      </w:r>
    </w:p>
    <w:p w:rsidR="00C22BA3" w:rsidRPr="000314BF" w:rsidRDefault="008C12E6" w:rsidP="00C2792E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Realizace nebo modernizace technologie, je</w:t>
      </w:r>
      <w:r w:rsidRPr="000314BF">
        <w:rPr>
          <w:rFonts w:cstheme="minorHAnsi"/>
          <w:szCs w:val="24"/>
        </w:rPr>
        <w:t>jichž výstupem bude menší množství produkovaného odpadu na jednotku výrobku při dané výrobní technologii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Podpořeno: celkem: 344 projektů za cca 690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spacing w:before="120" w:line="276" w:lineRule="auto"/>
        <w:ind w:left="709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 xml:space="preserve">153. výzva PO 3, OPŽP 2014–2020 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Příjem žádostí: 1.</w:t>
      </w:r>
      <w:r w:rsidR="001F66F7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9.</w:t>
      </w:r>
      <w:r w:rsidR="001F66F7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2020 – 15.</w:t>
      </w:r>
      <w:r w:rsidR="001F66F7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3.</w:t>
      </w:r>
      <w:r w:rsidR="001F66F7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2021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Alokace: 150 mil. Kč na</w:t>
      </w:r>
      <w:r w:rsidRPr="000314BF">
        <w:rPr>
          <w:rFonts w:cstheme="minorHAnsi"/>
          <w:szCs w:val="24"/>
        </w:rPr>
        <w:t>výšena na 173</w:t>
      </w:r>
      <w:r w:rsidR="00BF1E6D">
        <w:rPr>
          <w:rFonts w:cstheme="minorHAnsi"/>
          <w:szCs w:val="24"/>
        </w:rPr>
        <w:t xml:space="preserve"> mil. Kč</w:t>
      </w:r>
      <w:r w:rsidR="002A71AE">
        <w:rPr>
          <w:rFonts w:cstheme="minorHAnsi"/>
          <w:szCs w:val="24"/>
        </w:rPr>
        <w:t>.</w:t>
      </w:r>
    </w:p>
    <w:p w:rsidR="00C22BA3" w:rsidRPr="000314BF" w:rsidRDefault="008C12E6" w:rsidP="00C22BA3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Podporované aktivity:</w:t>
      </w:r>
    </w:p>
    <w:p w:rsidR="00C22BA3" w:rsidRPr="000314BF" w:rsidRDefault="008C12E6" w:rsidP="00C22BA3">
      <w:pPr>
        <w:spacing w:before="120" w:after="120" w:line="276" w:lineRule="auto"/>
        <w:ind w:left="786" w:firstLine="348"/>
        <w:rPr>
          <w:rFonts w:cstheme="minorHAnsi"/>
          <w:i/>
          <w:szCs w:val="24"/>
          <w:u w:val="single"/>
        </w:rPr>
      </w:pPr>
      <w:r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i/>
          <w:szCs w:val="24"/>
          <w:u w:val="single"/>
        </w:rPr>
        <w:t>Předcházení vzniku komunálních odpadů</w:t>
      </w:r>
    </w:p>
    <w:p w:rsidR="00C22BA3" w:rsidRPr="000314BF" w:rsidRDefault="008C12E6" w:rsidP="00040F91">
      <w:pPr>
        <w:pStyle w:val="Odstavecseseznamem"/>
        <w:numPr>
          <w:ilvl w:val="1"/>
          <w:numId w:val="43"/>
        </w:numPr>
        <w:spacing w:line="276" w:lineRule="auto"/>
        <w:ind w:left="1434" w:hanging="357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Vybudování</w:t>
      </w:r>
      <w:r w:rsidR="00C3150C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/</w:t>
      </w:r>
      <w:r w:rsidR="00C3150C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rozšíření infrastruktury potravinových bank</w:t>
      </w:r>
      <w:r w:rsidR="00C3150C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(budování či</w:t>
      </w:r>
      <w:r w:rsidR="00C3150C" w:rsidRPr="000314BF">
        <w:rPr>
          <w:rFonts w:cstheme="minorHAnsi"/>
          <w:szCs w:val="24"/>
        </w:rPr>
        <w:t xml:space="preserve"> r</w:t>
      </w:r>
      <w:r w:rsidRPr="000314BF">
        <w:rPr>
          <w:rFonts w:cstheme="minorHAnsi"/>
          <w:szCs w:val="24"/>
        </w:rPr>
        <w:t xml:space="preserve">ekonstrukci skladů potravin, nákup svozové a manipulační techniky </w:t>
      </w:r>
      <w:r w:rsidRPr="000314BF">
        <w:rPr>
          <w:rFonts w:cstheme="minorHAnsi"/>
          <w:szCs w:val="24"/>
        </w:rPr>
        <w:br/>
        <w:t xml:space="preserve">a pořízení vybavení skladů </w:t>
      </w:r>
      <w:r w:rsidRPr="000314BF">
        <w:rPr>
          <w:rFonts w:cstheme="minorHAnsi"/>
          <w:szCs w:val="24"/>
        </w:rPr>
        <w:t>potravin)</w:t>
      </w:r>
      <w:r w:rsidR="002A71AE">
        <w:rPr>
          <w:rFonts w:cstheme="minorHAnsi"/>
          <w:szCs w:val="24"/>
        </w:rPr>
        <w:t>.</w:t>
      </w:r>
    </w:p>
    <w:p w:rsidR="00C22BA3" w:rsidRDefault="008C12E6" w:rsidP="002631AB">
      <w:pPr>
        <w:pStyle w:val="Odstavecseseznamem"/>
        <w:numPr>
          <w:ilvl w:val="1"/>
          <w:numId w:val="43"/>
        </w:numPr>
        <w:spacing w:after="360" w:line="276" w:lineRule="auto"/>
        <w:ind w:left="1434" w:hanging="357"/>
        <w:contextualSpacing w:val="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Podpořeno: celkem 6 projektů za cca.  162 mil. Kč</w:t>
      </w:r>
      <w:r w:rsidR="002A71AE">
        <w:rPr>
          <w:rFonts w:cstheme="minorHAnsi"/>
          <w:szCs w:val="24"/>
        </w:rPr>
        <w:t>.</w:t>
      </w:r>
    </w:p>
    <w:p w:rsidR="002932A0" w:rsidRPr="002932A0" w:rsidRDefault="002932A0" w:rsidP="002932A0">
      <w:pPr>
        <w:spacing w:after="360" w:line="276" w:lineRule="auto"/>
        <w:ind w:left="1077"/>
        <w:rPr>
          <w:rFonts w:cstheme="minorHAnsi"/>
          <w:szCs w:val="24"/>
        </w:rPr>
      </w:pPr>
    </w:p>
    <w:p w:rsidR="00C22BA3" w:rsidRPr="000314BF" w:rsidRDefault="008C12E6" w:rsidP="00C22BA3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rPr>
          <w:rFonts w:cstheme="minorHAnsi"/>
          <w:b/>
          <w:szCs w:val="24"/>
          <w:u w:val="single"/>
        </w:rPr>
      </w:pPr>
      <w:r w:rsidRPr="000314BF">
        <w:rPr>
          <w:rFonts w:cstheme="minorHAnsi"/>
          <w:b/>
          <w:szCs w:val="24"/>
          <w:u w:val="single"/>
        </w:rPr>
        <w:lastRenderedPageBreak/>
        <w:t xml:space="preserve">Operační program Podnikání a inovace pro konkurenceschopnost 2014–2020 </w:t>
      </w:r>
      <w:r w:rsidR="00127AFF" w:rsidRPr="000314BF">
        <w:rPr>
          <w:rFonts w:cstheme="minorHAnsi"/>
          <w:b/>
          <w:szCs w:val="24"/>
          <w:u w:val="single"/>
        </w:rPr>
        <w:t>(MPO)</w:t>
      </w:r>
    </w:p>
    <w:p w:rsidR="00C22BA3" w:rsidRPr="000314BF" w:rsidRDefault="008C12E6" w:rsidP="00C22BA3">
      <w:pPr>
        <w:spacing w:after="6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Operační program „Podnikání a inovace pro konkurenceschopnost“ je programem vypracovaným za účelem dosažení konkuren</w:t>
      </w:r>
      <w:r w:rsidRPr="000314BF">
        <w:rPr>
          <w:rFonts w:cstheme="minorHAnsi"/>
          <w:szCs w:val="24"/>
        </w:rPr>
        <w:t xml:space="preserve">ceschopné a udržitelné ekonomiky založené na znalostech a inovacích. </w:t>
      </w:r>
    </w:p>
    <w:p w:rsidR="00C22BA3" w:rsidRPr="000314BF" w:rsidRDefault="008C12E6" w:rsidP="00C22BA3">
      <w:pPr>
        <w:numPr>
          <w:ilvl w:val="0"/>
          <w:numId w:val="12"/>
        </w:numPr>
        <w:spacing w:after="120" w:line="276" w:lineRule="auto"/>
        <w:ind w:left="714" w:hanging="357"/>
        <w:rPr>
          <w:rFonts w:cstheme="minorHAnsi"/>
          <w:szCs w:val="24"/>
        </w:rPr>
      </w:pPr>
      <w:r w:rsidRPr="000314BF">
        <w:rPr>
          <w:rFonts w:cstheme="minorHAnsi"/>
          <w:b/>
          <w:szCs w:val="24"/>
        </w:rPr>
        <w:t xml:space="preserve">Prioritní osa 1: Rozvoj výzkumu a vývoje pro inovace: </w:t>
      </w:r>
      <w:r w:rsidRPr="000314BF">
        <w:rPr>
          <w:rFonts w:cstheme="minorHAnsi"/>
          <w:szCs w:val="24"/>
        </w:rPr>
        <w:t>Investiční priorita 1: Podpora podnikových investic do výzkumu a inovací a vytváření vazeb a součinnosti mezi podniky, středisky výz</w:t>
      </w:r>
      <w:r w:rsidRPr="000314BF">
        <w:rPr>
          <w:rFonts w:cstheme="minorHAnsi"/>
          <w:szCs w:val="24"/>
        </w:rPr>
        <w:t>kumu a vývoje a odvětvím vysokoškolského vzdělání, zejména podpora investic v oblasti produktů a služeb, přenosu technologií, sociálních inovací, ekologických inovací, aplikací veřejných služeb, stimulace poptávky, vytváření sítí, klastrů a otevřených inov</w:t>
      </w:r>
      <w:r w:rsidRPr="000314BF">
        <w:rPr>
          <w:rFonts w:cstheme="minorHAnsi"/>
          <w:szCs w:val="24"/>
        </w:rPr>
        <w:t>ací prostřednictvím inteligentní specializace a podpora technického a aplikovaného výzkumu, pilotních linek, opatření k včasnému ověřování produktů, schopností vyspělé výroby a prvovýroby, zejména v oblasti klíčových technologií a šíření technologií pro vš</w:t>
      </w:r>
      <w:r w:rsidRPr="000314BF">
        <w:rPr>
          <w:rFonts w:cstheme="minorHAnsi"/>
          <w:szCs w:val="24"/>
        </w:rPr>
        <w:t xml:space="preserve">eobecné použití. </w:t>
      </w:r>
    </w:p>
    <w:p w:rsidR="00C22BA3" w:rsidRPr="000314BF" w:rsidRDefault="008C12E6" w:rsidP="00C22BA3">
      <w:pPr>
        <w:spacing w:after="6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b/>
          <w:szCs w:val="24"/>
        </w:rPr>
        <w:t>Prioritní osa 3: programu je na zaměřena na oblast Politiky druhotných surovin</w:t>
      </w:r>
      <w:r w:rsidRPr="000314BF">
        <w:rPr>
          <w:rFonts w:cstheme="minorHAnsi"/>
          <w:szCs w:val="24"/>
        </w:rPr>
        <w:t>, v rámci specifického cíle 3.4. Nízkouhlíkové technologie v oblasti nakládání energií a</w:t>
      </w:r>
      <w:r w:rsidR="00F96061" w:rsidRPr="000314BF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>při využívání druhotných surovin, podpořeny aktivity zaměřené na:</w:t>
      </w:r>
    </w:p>
    <w:p w:rsidR="00C22BA3" w:rsidRPr="000314BF" w:rsidRDefault="008C12E6" w:rsidP="00C22BA3">
      <w:pPr>
        <w:pStyle w:val="Odstavecseseznamem"/>
        <w:numPr>
          <w:ilvl w:val="0"/>
          <w:numId w:val="42"/>
        </w:numPr>
        <w:spacing w:line="276" w:lineRule="auto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zavád</w:t>
      </w:r>
      <w:r w:rsidRPr="000314BF">
        <w:rPr>
          <w:rFonts w:cstheme="minorHAnsi"/>
          <w:szCs w:val="24"/>
        </w:rPr>
        <w:t>ění inovativních technologií k získávání druhotných surovin v kvalitě vhodné pro další využití v průmyslové výrobě např. z použitého papíru, skla, kovů, pneumatik, textilu, plastů, stavebních a demoličních odpadů, vedlejších energetických produktů a řady d</w:t>
      </w:r>
      <w:r w:rsidRPr="000314BF">
        <w:rPr>
          <w:rFonts w:cstheme="minorHAnsi"/>
          <w:szCs w:val="24"/>
        </w:rPr>
        <w:t>alších výrobků s ukončenou životností,</w:t>
      </w:r>
    </w:p>
    <w:p w:rsidR="00C22BA3" w:rsidRPr="000314BF" w:rsidRDefault="008C12E6" w:rsidP="00C22BA3">
      <w:pPr>
        <w:pStyle w:val="Odstavecseseznamem"/>
        <w:numPr>
          <w:ilvl w:val="0"/>
          <w:numId w:val="42"/>
        </w:numPr>
        <w:spacing w:line="276" w:lineRule="auto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zavádění inovativních technologií, kterými se budou z použitých výrobků získávat efektivním způsobem cenné druhotné suroviny,</w:t>
      </w:r>
    </w:p>
    <w:p w:rsidR="00C22BA3" w:rsidRPr="000314BF" w:rsidRDefault="008C12E6" w:rsidP="00C22BA3">
      <w:pPr>
        <w:pStyle w:val="Odstavecseseznamem"/>
        <w:numPr>
          <w:ilvl w:val="0"/>
          <w:numId w:val="42"/>
        </w:numPr>
        <w:spacing w:line="276" w:lineRule="auto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zavádění inovativních technologií na výrobu výrobků vyrobených z druhotných surovin, včetně</w:t>
      </w:r>
      <w:r w:rsidRPr="000314BF">
        <w:rPr>
          <w:rFonts w:cstheme="minorHAnsi"/>
          <w:szCs w:val="24"/>
        </w:rPr>
        <w:t xml:space="preserve"> náhrad primárních zdrojů druhotnými surovinami, tam kde je to ekonomicky výhodné. </w:t>
      </w:r>
    </w:p>
    <w:p w:rsidR="00C22BA3" w:rsidRPr="000314BF" w:rsidRDefault="008C12E6" w:rsidP="00C22BA3">
      <w:pPr>
        <w:spacing w:before="120" w:after="12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bCs/>
          <w:szCs w:val="24"/>
        </w:rPr>
        <w:t>Roli zprostředkujícího subjektu pro MPO v rámci OP PIK plní Agentura pro podnikání a inovace (API),</w:t>
      </w:r>
      <w:r w:rsidRPr="000314BF">
        <w:rPr>
          <w:rFonts w:cstheme="minorHAnsi"/>
          <w:szCs w:val="24"/>
        </w:rPr>
        <w:t xml:space="preserve"> která vykonává specifické činnosti implementace pro dotační podporované aktivity OP PIK a současně zajištuje podporu a poradenství pro žadatele a příjemce podpory.</w:t>
      </w:r>
    </w:p>
    <w:p w:rsidR="00C22BA3" w:rsidRPr="000314BF" w:rsidRDefault="008C12E6" w:rsidP="00C22BA3">
      <w:pPr>
        <w:spacing w:before="120" w:after="12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Pro projekty zaměřené na zavádění inovativních technologií k získávání a využívání druhotný</w:t>
      </w:r>
      <w:r w:rsidRPr="000314BF">
        <w:rPr>
          <w:rFonts w:cstheme="minorHAnsi"/>
          <w:szCs w:val="24"/>
        </w:rPr>
        <w:t>ch surovin v OP PIK 2014–2020 bylo v rámci specifického cíle 3.4 – Nízkouhlíkové technologie vyhlášeno doposud několik výzev. Koncem roku 2018 byla vyhlášena IV. výzva s alokací 500 mil. Kč, příjem žádostí probíhal od 03. 12. 2018 do 31.</w:t>
      </w:r>
      <w:r w:rsidR="00F96061" w:rsidRPr="000314BF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>05. 2019. Prozatím</w:t>
      </w:r>
      <w:r w:rsidRPr="000314BF">
        <w:rPr>
          <w:rFonts w:cstheme="minorHAnsi"/>
          <w:szCs w:val="24"/>
        </w:rPr>
        <w:t xml:space="preserve"> poslední V. výzva s alokací 500 mil. Kč, byla vyhlášena 2.</w:t>
      </w:r>
      <w:r w:rsidR="00B8191B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>12.</w:t>
      </w:r>
      <w:r w:rsidR="00B8191B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>2019, příjem žádostí probíhal v období 6. 1. 2020 – 28. 5. 2020. Následně pak s</w:t>
      </w:r>
      <w:r w:rsidR="00F96061" w:rsidRPr="000314BF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 xml:space="preserve">ohledem na vývoj virové nákazy Covid-19, přijatá preventivní opatření v ČR a z toho důvodu přetrvávající </w:t>
      </w:r>
      <w:r w:rsidRPr="000314BF">
        <w:rPr>
          <w:rFonts w:cstheme="minorHAnsi"/>
          <w:szCs w:val="24"/>
        </w:rPr>
        <w:t>problematická zajištění relevantních povinných příloh od třetích stran, rozhodlo MPO o prodloužení termínů pro příjem žádostí až do 31. 7. 2020. </w:t>
      </w:r>
    </w:p>
    <w:p w:rsidR="00C22BA3" w:rsidRPr="000314BF" w:rsidRDefault="008C12E6" w:rsidP="002631AB">
      <w:pPr>
        <w:pStyle w:val="Odstavecseseznamem"/>
        <w:spacing w:before="120" w:after="360" w:line="276" w:lineRule="auto"/>
        <w:ind w:left="709"/>
        <w:contextualSpacing w:val="0"/>
        <w:rPr>
          <w:rFonts w:cstheme="minorHAnsi"/>
        </w:rPr>
      </w:pPr>
      <w:r w:rsidRPr="000314BF">
        <w:rPr>
          <w:rFonts w:cstheme="minorHAnsi"/>
          <w:szCs w:val="24"/>
        </w:rPr>
        <w:lastRenderedPageBreak/>
        <w:t xml:space="preserve">Seznam podpořených projektů </w:t>
      </w:r>
      <w:r w:rsidR="00001981" w:rsidRPr="000314BF">
        <w:rPr>
          <w:rFonts w:cstheme="minorHAnsi"/>
          <w:szCs w:val="24"/>
        </w:rPr>
        <w:t>je uveden v</w:t>
      </w:r>
      <w:r w:rsidR="004C040D" w:rsidRPr="000314BF">
        <w:rPr>
          <w:rFonts w:cstheme="minorHAnsi"/>
          <w:szCs w:val="24"/>
        </w:rPr>
        <w:t> </w:t>
      </w:r>
      <w:r w:rsidR="00001981" w:rsidRPr="000314BF">
        <w:rPr>
          <w:rFonts w:cstheme="minorHAnsi"/>
          <w:szCs w:val="24"/>
        </w:rPr>
        <w:t>příloze</w:t>
      </w:r>
      <w:r w:rsidR="004C040D" w:rsidRPr="000314BF">
        <w:rPr>
          <w:rFonts w:cstheme="minorHAnsi"/>
          <w:szCs w:val="24"/>
        </w:rPr>
        <w:t>.</w:t>
      </w:r>
    </w:p>
    <w:p w:rsidR="000C2424" w:rsidRPr="000314BF" w:rsidRDefault="008C12E6" w:rsidP="000C2424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szCs w:val="24"/>
          <w:u w:val="single"/>
        </w:rPr>
      </w:pPr>
      <w:r w:rsidRPr="000314BF">
        <w:rPr>
          <w:rFonts w:cstheme="minorHAnsi"/>
          <w:b/>
          <w:bCs/>
          <w:szCs w:val="24"/>
          <w:u w:val="single"/>
        </w:rPr>
        <w:t>Politika druhotných surovin (Ministerstvo průmyslu a obchodu)</w:t>
      </w:r>
      <w:r w:rsidRPr="000314BF">
        <w:rPr>
          <w:rFonts w:cstheme="minorHAnsi"/>
          <w:b/>
          <w:bCs/>
          <w:szCs w:val="24"/>
          <w:u w:val="single"/>
        </w:rPr>
        <w:t xml:space="preserve"> </w:t>
      </w:r>
    </w:p>
    <w:p w:rsidR="000C2424" w:rsidRPr="000314BF" w:rsidRDefault="008C12E6" w:rsidP="000C2424">
      <w:pPr>
        <w:spacing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MPO aktualizovalo Politiku druhotných surovin ČR pro období 2019–2022 České republiky, čímž reagovalo na významné změny na úrovni Evropské unie v oblasti legislativních, ekonomických a dobrovolných nástrojů souvisejících s přechodem evropského průmyslu n</w:t>
      </w:r>
      <w:r w:rsidRPr="000314BF">
        <w:rPr>
          <w:rFonts w:cstheme="minorHAnsi"/>
          <w:szCs w:val="24"/>
        </w:rPr>
        <w:t>a oběhové hospodářství. Dne 30. července 2019 vláda schválila Aktualizaci Politiky druhotných surovin ČR pro období 2019–2022. Byly navrženy následující strategické cíle:</w:t>
      </w:r>
    </w:p>
    <w:p w:rsidR="000C2424" w:rsidRPr="000314BF" w:rsidRDefault="008C12E6" w:rsidP="000C2424">
      <w:pPr>
        <w:pStyle w:val="Odstavecseseznamem"/>
        <w:numPr>
          <w:ilvl w:val="0"/>
          <w:numId w:val="31"/>
        </w:numPr>
        <w:spacing w:after="120" w:line="276" w:lineRule="auto"/>
        <w:ind w:left="1418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Zvyšovat soběstačnost České republiky v surovinových zdrojích nahrazováním primárních</w:t>
      </w:r>
      <w:r w:rsidRPr="000314BF">
        <w:rPr>
          <w:rFonts w:cstheme="minorHAnsi"/>
          <w:szCs w:val="24"/>
        </w:rPr>
        <w:t xml:space="preserve"> zdrojů druhotnými surovinami.</w:t>
      </w:r>
    </w:p>
    <w:p w:rsidR="000C2424" w:rsidRPr="000314BF" w:rsidRDefault="008C12E6" w:rsidP="000C2424">
      <w:pPr>
        <w:pStyle w:val="Odstavecseseznamem"/>
        <w:numPr>
          <w:ilvl w:val="0"/>
          <w:numId w:val="31"/>
        </w:numPr>
        <w:spacing w:after="120" w:line="276" w:lineRule="auto"/>
        <w:ind w:left="1418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Podporovat inovace a rozvoj oběhového hospodářství v rámci podnikání.</w:t>
      </w:r>
    </w:p>
    <w:p w:rsidR="000C2424" w:rsidRPr="000314BF" w:rsidRDefault="008C12E6" w:rsidP="000C2424">
      <w:pPr>
        <w:pStyle w:val="Odstavecseseznamem"/>
        <w:numPr>
          <w:ilvl w:val="0"/>
          <w:numId w:val="31"/>
        </w:numPr>
        <w:spacing w:after="120" w:line="276" w:lineRule="auto"/>
        <w:ind w:left="1418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Podporovat využívání druhotných surovin jako nástroje pro snižování materiálové i energetické náročnosti průmyslové výroby.</w:t>
      </w:r>
    </w:p>
    <w:p w:rsidR="000C2424" w:rsidRPr="000314BF" w:rsidRDefault="008C12E6" w:rsidP="000C2424">
      <w:pPr>
        <w:pStyle w:val="Odstavecseseznamem"/>
        <w:numPr>
          <w:ilvl w:val="0"/>
          <w:numId w:val="31"/>
        </w:numPr>
        <w:spacing w:after="120" w:line="276" w:lineRule="auto"/>
        <w:ind w:left="1418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Intenzivně podporovat osvětu a </w:t>
      </w:r>
      <w:r w:rsidRPr="000314BF">
        <w:rPr>
          <w:rFonts w:cstheme="minorHAnsi"/>
          <w:szCs w:val="24"/>
        </w:rPr>
        <w:t>vzdělávání v oblasti oběhového hospodářství.</w:t>
      </w:r>
    </w:p>
    <w:p w:rsidR="000C2424" w:rsidRPr="000314BF" w:rsidRDefault="008C12E6" w:rsidP="000C2424">
      <w:pPr>
        <w:pStyle w:val="Odstavecseseznamem"/>
        <w:numPr>
          <w:ilvl w:val="0"/>
          <w:numId w:val="31"/>
        </w:numPr>
        <w:spacing w:after="120" w:line="276" w:lineRule="auto"/>
        <w:ind w:left="1417" w:hanging="357"/>
        <w:contextualSpacing w:val="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Aktualizovat statistická zjišťování v oblasti druhotných surovin k monitoringu a vyhodnocování oběhového hospodářství.</w:t>
      </w:r>
    </w:p>
    <w:p w:rsidR="000C2424" w:rsidRPr="000314BF" w:rsidRDefault="008C12E6" w:rsidP="001E192B">
      <w:pPr>
        <w:spacing w:line="276" w:lineRule="auto"/>
        <w:ind w:left="709"/>
        <w:rPr>
          <w:rFonts w:cstheme="minorHAnsi"/>
          <w:color w:val="000000"/>
          <w:szCs w:val="24"/>
        </w:rPr>
      </w:pPr>
      <w:r w:rsidRPr="000314BF">
        <w:rPr>
          <w:rFonts w:cstheme="minorHAnsi"/>
          <w:szCs w:val="24"/>
        </w:rPr>
        <w:t>MPO plněním strategických cílů dokumentu Politika druhotných surovin ČR, významně přispívá k</w:t>
      </w:r>
      <w:r w:rsidRPr="000314BF">
        <w:rPr>
          <w:rFonts w:cstheme="minorHAnsi"/>
          <w:szCs w:val="24"/>
        </w:rPr>
        <w:t xml:space="preserve">e vzdělávání a poradenství v podnikatelské sféře, poskytuje poradenství výrobcům a veřejné správě zaměřené na prevenci vzniku a snižování množství odpadů a využívání recyklovaných materiálů při výrobě a plní </w:t>
      </w:r>
      <w:r w:rsidR="001E192B" w:rsidRPr="000314BF">
        <w:rPr>
          <w:rFonts w:cstheme="minorHAnsi"/>
          <w:szCs w:val="24"/>
        </w:rPr>
        <w:t>řadu úkolů</w:t>
      </w:r>
      <w:r w:rsidRPr="000314BF">
        <w:rPr>
          <w:rFonts w:cstheme="minorHAnsi"/>
          <w:szCs w:val="24"/>
        </w:rPr>
        <w:t xml:space="preserve"> nastaven</w:t>
      </w:r>
      <w:r w:rsidR="001E192B" w:rsidRPr="000314BF">
        <w:rPr>
          <w:rFonts w:cstheme="minorHAnsi"/>
          <w:szCs w:val="24"/>
        </w:rPr>
        <w:t>ých</w:t>
      </w:r>
      <w:r w:rsidRPr="000314BF">
        <w:rPr>
          <w:rFonts w:cstheme="minorHAnsi"/>
          <w:szCs w:val="24"/>
        </w:rPr>
        <w:t xml:space="preserve"> aktualizovanou Politikou </w:t>
      </w:r>
      <w:r w:rsidRPr="000314BF">
        <w:rPr>
          <w:rFonts w:cstheme="minorHAnsi"/>
          <w:szCs w:val="24"/>
        </w:rPr>
        <w:t>druhotných surovin ČR</w:t>
      </w:r>
      <w:r w:rsidR="001E192B" w:rsidRPr="000314BF">
        <w:rPr>
          <w:rFonts w:cstheme="minorHAnsi"/>
          <w:szCs w:val="24"/>
        </w:rPr>
        <w:t xml:space="preserve"> např. Podílí se na z</w:t>
      </w:r>
      <w:r w:rsidRPr="000314BF">
        <w:rPr>
          <w:rFonts w:cstheme="minorHAnsi"/>
          <w:color w:val="000000"/>
          <w:szCs w:val="24"/>
        </w:rPr>
        <w:t>pracov</w:t>
      </w:r>
      <w:r w:rsidR="001E192B" w:rsidRPr="000314BF">
        <w:rPr>
          <w:rFonts w:cstheme="minorHAnsi"/>
          <w:color w:val="000000"/>
          <w:szCs w:val="24"/>
        </w:rPr>
        <w:t>ání</w:t>
      </w:r>
      <w:r w:rsidRPr="000314BF">
        <w:rPr>
          <w:rFonts w:cstheme="minorHAnsi"/>
          <w:color w:val="000000"/>
          <w:szCs w:val="24"/>
        </w:rPr>
        <w:t xml:space="preserve"> Katalog</w:t>
      </w:r>
      <w:r w:rsidR="001E192B" w:rsidRPr="000314BF">
        <w:rPr>
          <w:rFonts w:cstheme="minorHAnsi"/>
          <w:color w:val="000000"/>
          <w:szCs w:val="24"/>
        </w:rPr>
        <w:t>u</w:t>
      </w:r>
      <w:r w:rsidRPr="000314BF">
        <w:rPr>
          <w:rFonts w:cstheme="minorHAnsi"/>
          <w:color w:val="000000"/>
          <w:szCs w:val="24"/>
        </w:rPr>
        <w:t xml:space="preserve"> výrobků s obsahem druhotných surovin, které nepocházejí ze stavební činnosti.</w:t>
      </w:r>
      <w:r w:rsidR="001E192B" w:rsidRPr="000314BF">
        <w:rPr>
          <w:rFonts w:cstheme="minorHAnsi"/>
          <w:color w:val="000000"/>
          <w:szCs w:val="24"/>
        </w:rPr>
        <w:t xml:space="preserve"> </w:t>
      </w:r>
      <w:r w:rsidRPr="000314BF">
        <w:rPr>
          <w:rFonts w:cstheme="minorHAnsi"/>
          <w:color w:val="000000"/>
          <w:szCs w:val="24"/>
        </w:rPr>
        <w:t>Podpor</w:t>
      </w:r>
      <w:r w:rsidR="001E192B" w:rsidRPr="000314BF">
        <w:rPr>
          <w:rFonts w:cstheme="minorHAnsi"/>
          <w:color w:val="000000"/>
          <w:szCs w:val="24"/>
        </w:rPr>
        <w:t>uje</w:t>
      </w:r>
      <w:r w:rsidRPr="000314BF">
        <w:rPr>
          <w:rFonts w:cstheme="minorHAnsi"/>
          <w:color w:val="000000"/>
          <w:szCs w:val="24"/>
        </w:rPr>
        <w:t xml:space="preserve"> rozvoj zpracovatelských kapacit pro využití druhotných surovin a odpadů prostřednictvím národních a evropsk</w:t>
      </w:r>
      <w:r w:rsidRPr="000314BF">
        <w:rPr>
          <w:rFonts w:cstheme="minorHAnsi"/>
          <w:color w:val="000000"/>
          <w:szCs w:val="24"/>
        </w:rPr>
        <w:t>ých dotačních programů.</w:t>
      </w:r>
      <w:r w:rsidR="001E192B" w:rsidRPr="000314BF">
        <w:rPr>
          <w:rFonts w:cstheme="minorHAnsi"/>
          <w:color w:val="000000"/>
          <w:szCs w:val="24"/>
        </w:rPr>
        <w:t xml:space="preserve"> </w:t>
      </w:r>
      <w:r w:rsidRPr="000314BF">
        <w:rPr>
          <w:rFonts w:cstheme="minorHAnsi"/>
          <w:color w:val="000000"/>
          <w:szCs w:val="24"/>
        </w:rPr>
        <w:t>Řeš</w:t>
      </w:r>
      <w:r w:rsidR="001E192B" w:rsidRPr="000314BF">
        <w:rPr>
          <w:rFonts w:cstheme="minorHAnsi"/>
          <w:color w:val="000000"/>
          <w:szCs w:val="24"/>
        </w:rPr>
        <w:t>í</w:t>
      </w:r>
      <w:r w:rsidRPr="000314BF">
        <w:rPr>
          <w:rFonts w:cstheme="minorHAnsi"/>
          <w:color w:val="000000"/>
          <w:szCs w:val="24"/>
        </w:rPr>
        <w:t xml:space="preserve"> problematiku materiálového </w:t>
      </w:r>
      <w:proofErr w:type="spellStart"/>
      <w:r w:rsidRPr="000314BF">
        <w:rPr>
          <w:rFonts w:cstheme="minorHAnsi"/>
          <w:color w:val="000000"/>
          <w:szCs w:val="24"/>
        </w:rPr>
        <w:t>eko</w:t>
      </w:r>
      <w:proofErr w:type="spellEnd"/>
      <w:r w:rsidRPr="000314BF">
        <w:rPr>
          <w:rFonts w:cstheme="minorHAnsi"/>
          <w:color w:val="000000"/>
          <w:szCs w:val="24"/>
        </w:rPr>
        <w:t>-designu v souvislosti splněním požadavků souvisejících s</w:t>
      </w:r>
      <w:r w:rsidR="001E192B" w:rsidRPr="000314BF">
        <w:rPr>
          <w:rFonts w:cstheme="minorHAnsi"/>
          <w:color w:val="000000"/>
          <w:szCs w:val="24"/>
        </w:rPr>
        <w:t> </w:t>
      </w:r>
      <w:r w:rsidRPr="000314BF">
        <w:rPr>
          <w:rFonts w:cstheme="minorHAnsi"/>
          <w:color w:val="000000"/>
          <w:szCs w:val="24"/>
        </w:rPr>
        <w:t>přechodem na oběhové hospodářství.</w:t>
      </w:r>
      <w:r w:rsidR="001E192B" w:rsidRPr="000314BF">
        <w:rPr>
          <w:rFonts w:cstheme="minorHAnsi"/>
          <w:color w:val="000000"/>
          <w:szCs w:val="24"/>
        </w:rPr>
        <w:t xml:space="preserve"> </w:t>
      </w:r>
      <w:r w:rsidRPr="000314BF">
        <w:rPr>
          <w:rFonts w:cstheme="minorHAnsi"/>
          <w:color w:val="000000"/>
          <w:szCs w:val="24"/>
        </w:rPr>
        <w:t>Realiz</w:t>
      </w:r>
      <w:r w:rsidR="001E192B" w:rsidRPr="000314BF">
        <w:rPr>
          <w:rFonts w:cstheme="minorHAnsi"/>
          <w:color w:val="000000"/>
          <w:szCs w:val="24"/>
        </w:rPr>
        <w:t>uje</w:t>
      </w:r>
      <w:r w:rsidRPr="000314BF">
        <w:rPr>
          <w:rFonts w:cstheme="minorHAnsi"/>
          <w:color w:val="000000"/>
          <w:szCs w:val="24"/>
        </w:rPr>
        <w:t xml:space="preserve"> osvětu podnikatelské sféry i</w:t>
      </w:r>
      <w:r w:rsidR="00C3150C" w:rsidRPr="000314BF">
        <w:rPr>
          <w:rFonts w:cstheme="minorHAnsi"/>
          <w:color w:val="000000"/>
          <w:szCs w:val="24"/>
        </w:rPr>
        <w:t> </w:t>
      </w:r>
      <w:r w:rsidRPr="000314BF">
        <w:rPr>
          <w:rFonts w:cstheme="minorHAnsi"/>
          <w:color w:val="000000"/>
          <w:szCs w:val="24"/>
        </w:rPr>
        <w:t xml:space="preserve">veřejnosti v oblasti oběhového hospodářství, např. formou </w:t>
      </w:r>
      <w:r w:rsidRPr="000314BF">
        <w:rPr>
          <w:rFonts w:cstheme="minorHAnsi"/>
          <w:color w:val="000000"/>
          <w:szCs w:val="24"/>
        </w:rPr>
        <w:t>soutěží.</w:t>
      </w:r>
    </w:p>
    <w:p w:rsidR="000C2424" w:rsidRPr="000314BF" w:rsidRDefault="008C12E6" w:rsidP="000C2424">
      <w:pPr>
        <w:spacing w:before="120" w:after="12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V rámci plnění nastavených úkolů iniciovalo MPO začlenění výuky o druhotných surovinách do soustavy vzdělávání, průběžnou realizaci nyní zajišťuje MŠMT. </w:t>
      </w:r>
    </w:p>
    <w:p w:rsidR="000C2424" w:rsidRPr="000314BF" w:rsidRDefault="008C12E6" w:rsidP="000C2424">
      <w:pPr>
        <w:spacing w:before="120" w:after="12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Dále byla např. rozšířena Národní soustava povolání (dostupné na stánkách provozovaných MMR: </w:t>
      </w:r>
      <w:hyperlink r:id="rId40" w:history="1">
        <w:r w:rsidRPr="000314BF">
          <w:rPr>
            <w:rStyle w:val="Hypertextovodkaz"/>
            <w:rFonts w:cstheme="minorHAnsi"/>
            <w:szCs w:val="24"/>
          </w:rPr>
          <w:t>https://www.nsp.cz/</w:t>
        </w:r>
      </w:hyperlink>
      <w:r w:rsidRPr="000314BF">
        <w:rPr>
          <w:rFonts w:cstheme="minorHAnsi"/>
          <w:szCs w:val="24"/>
        </w:rPr>
        <w:t xml:space="preserve">). Byly doplněny </w:t>
      </w:r>
      <w:r w:rsidRPr="000314BF">
        <w:rPr>
          <w:rFonts w:cstheme="minorHAnsi"/>
          <w:i/>
          <w:szCs w:val="24"/>
        </w:rPr>
        <w:t>Jednotky práce v oblasti recyklace a zpracování druhotných surovin s podrobným popisem povolání a typových pozic</w:t>
      </w:r>
      <w:r w:rsidRPr="000314BF">
        <w:rPr>
          <w:rFonts w:cstheme="minorHAnsi"/>
          <w:szCs w:val="24"/>
        </w:rPr>
        <w:t xml:space="preserve"> (dělník pro recyklaci, pracovník recyklace, obsluha recyklačních zaříze</w:t>
      </w:r>
      <w:r w:rsidRPr="000314BF">
        <w:rPr>
          <w:rFonts w:cstheme="minorHAnsi"/>
          <w:szCs w:val="24"/>
        </w:rPr>
        <w:t>ní, technolog recyklace, inženýr recyklace).</w:t>
      </w:r>
    </w:p>
    <w:p w:rsidR="000C2424" w:rsidRPr="000314BF" w:rsidRDefault="008C12E6" w:rsidP="000C2424">
      <w:pPr>
        <w:spacing w:before="120" w:after="12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MPO pořádá každoročně také soutěž s názvem „Přeměna odpadů na zdroje“, která má motivovat odbornou i laickou veřejnost ke kreativnímu přístupu k využívání odpadů, materiálů a výrobků, které ukončily svoji životnost. Cílem soutěže je osvěta směrem </w:t>
      </w:r>
      <w:r w:rsidRPr="000314BF">
        <w:rPr>
          <w:rFonts w:cstheme="minorHAnsi"/>
          <w:szCs w:val="24"/>
        </w:rPr>
        <w:lastRenderedPageBreak/>
        <w:t>k</w:t>
      </w:r>
      <w:r w:rsidR="00C3150C" w:rsidRPr="000314BF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 xml:space="preserve">široké </w:t>
      </w:r>
      <w:r w:rsidRPr="000314BF">
        <w:rPr>
          <w:rFonts w:cstheme="minorHAnsi"/>
          <w:szCs w:val="24"/>
        </w:rPr>
        <w:t>veřejnosti o účinném a udržitelném využívání surovinových zdrojů a o potřebě zapojit do procesu přechodu k oběhovému hospodářství všechny věkové kategorie občanů a nejrůznější profese, organizace a instituce, a tím přispět k podpoře přechodu ČR k cirkulárn</w:t>
      </w:r>
      <w:r w:rsidRPr="000314BF">
        <w:rPr>
          <w:rFonts w:cstheme="minorHAnsi"/>
          <w:szCs w:val="24"/>
        </w:rPr>
        <w:t>í ekonomice a oběhovému hospodářství. Doposud proběhly 3. ročníky soutěže, 4. ročník musel být zrušen kvůli opatřeními spojenými s prevencí proti šíření nemoci covid-19.</w:t>
      </w:r>
    </w:p>
    <w:p w:rsidR="000C2424" w:rsidRPr="000314BF" w:rsidRDefault="008C12E6" w:rsidP="00367076">
      <w:pPr>
        <w:spacing w:before="120" w:after="36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MPO a Česká agentura pro standardizaci zajištují provoz portálu „Recyklujme stavby!“, </w:t>
      </w:r>
      <w:r w:rsidRPr="000314BF">
        <w:rPr>
          <w:rFonts w:cstheme="minorHAnsi"/>
          <w:szCs w:val="24"/>
        </w:rPr>
        <w:t xml:space="preserve">s webovým katalogem výrobků a materiálů s obsahem druhotných surovin </w:t>
      </w:r>
      <w:hyperlink r:id="rId41" w:history="1">
        <w:r w:rsidRPr="000314BF">
          <w:rPr>
            <w:rStyle w:val="Hypertextovodkaz"/>
            <w:rFonts w:cstheme="minorHAnsi"/>
            <w:szCs w:val="24"/>
          </w:rPr>
          <w:t>http://www.recyklujmestavby.cz/</w:t>
        </w:r>
      </w:hyperlink>
      <w:r w:rsidRPr="000314BF">
        <w:rPr>
          <w:rFonts w:cstheme="minorHAnsi"/>
          <w:szCs w:val="24"/>
        </w:rPr>
        <w:t xml:space="preserve">. </w:t>
      </w:r>
    </w:p>
    <w:p w:rsidR="000137EF" w:rsidRPr="000314BF" w:rsidRDefault="008C12E6" w:rsidP="000137EF">
      <w:pPr>
        <w:pStyle w:val="Odstavecseseznamem"/>
        <w:numPr>
          <w:ilvl w:val="0"/>
          <w:numId w:val="8"/>
        </w:numPr>
        <w:spacing w:after="60" w:line="276" w:lineRule="auto"/>
        <w:rPr>
          <w:rFonts w:cstheme="minorHAnsi"/>
          <w:b/>
          <w:u w:val="single"/>
        </w:rPr>
      </w:pPr>
      <w:r w:rsidRPr="000314BF">
        <w:rPr>
          <w:rFonts w:cstheme="minorHAnsi"/>
          <w:b/>
          <w:u w:val="single"/>
        </w:rPr>
        <w:t>Strategický rámec Česká republika 2030</w:t>
      </w:r>
    </w:p>
    <w:p w:rsidR="000137EF" w:rsidRPr="000314BF" w:rsidRDefault="008C12E6" w:rsidP="000137EF">
      <w:pPr>
        <w:spacing w:before="120"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Dokument slouží pro koordinaci veřejných politik a je naplňován a </w:t>
      </w:r>
      <w:r w:rsidRPr="000314BF">
        <w:rPr>
          <w:rFonts w:cstheme="minorHAnsi"/>
        </w:rPr>
        <w:t xml:space="preserve">rozvíjen dalšími sektorovými či resortními strategiemi. V dokumentu jsou stanoveny strategické cíle: </w:t>
      </w:r>
    </w:p>
    <w:p w:rsidR="000137EF" w:rsidRPr="000314BF" w:rsidRDefault="008C12E6" w:rsidP="000137EF">
      <w:pPr>
        <w:spacing w:before="120" w:after="120" w:line="276" w:lineRule="auto"/>
        <w:ind w:left="720"/>
        <w:rPr>
          <w:rFonts w:cstheme="minorHAnsi"/>
          <w:i/>
        </w:rPr>
      </w:pPr>
      <w:r w:rsidRPr="000314BF">
        <w:rPr>
          <w:rFonts w:cstheme="minorHAnsi"/>
          <w:i/>
        </w:rPr>
        <w:t>9. Přírodní zdroje jsou využívány co nejefektivněji a nejšetrněji tak, aby se minimalizovaly externí náklady, které jejich spotřeba působí.</w:t>
      </w:r>
    </w:p>
    <w:p w:rsidR="00AE6F4B" w:rsidRPr="000314BF" w:rsidRDefault="008C12E6" w:rsidP="00AE6F4B">
      <w:pPr>
        <w:spacing w:before="120"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Cíl 9.2 růst </w:t>
      </w:r>
      <w:r w:rsidRPr="000314BF">
        <w:rPr>
          <w:rFonts w:cstheme="minorHAnsi"/>
        </w:rPr>
        <w:t xml:space="preserve">oběhového hospodářství. </w:t>
      </w:r>
    </w:p>
    <w:p w:rsidR="00AE6F4B" w:rsidRPr="000314BF" w:rsidRDefault="008C12E6" w:rsidP="00AE6F4B">
      <w:pPr>
        <w:spacing w:before="120" w:after="120" w:line="276" w:lineRule="auto"/>
        <w:ind w:left="720"/>
        <w:rPr>
          <w:rFonts w:cstheme="minorHAnsi"/>
        </w:rPr>
      </w:pPr>
      <w:r w:rsidRPr="000314BF">
        <w:rPr>
          <w:rFonts w:cstheme="minorHAnsi"/>
          <w:i/>
        </w:rPr>
        <w:t xml:space="preserve">19. Města a obce omezila emise skleníkových plynů a adaptovala se na negativní dopady změny klimatu. </w:t>
      </w:r>
      <w:r w:rsidRPr="000314BF">
        <w:rPr>
          <w:rFonts w:cstheme="minorHAnsi"/>
        </w:rPr>
        <w:t>19.7 Klesá množství skladovaného komunálního odpadu.</w:t>
      </w:r>
    </w:p>
    <w:p w:rsidR="000137EF" w:rsidRPr="000314BF" w:rsidRDefault="008C12E6" w:rsidP="00367076">
      <w:pPr>
        <w:spacing w:before="120" w:after="360" w:line="276" w:lineRule="auto"/>
        <w:ind w:left="720"/>
        <w:rPr>
          <w:b/>
          <w:szCs w:val="24"/>
          <w:u w:val="single"/>
        </w:rPr>
      </w:pPr>
      <w:r w:rsidRPr="000314BF">
        <w:rPr>
          <w:rFonts w:cstheme="minorHAnsi"/>
        </w:rPr>
        <w:t>Pozornost je zaměřena na zlepšení nakládání s komunálními odpady a na prevenc</w:t>
      </w:r>
      <w:r w:rsidRPr="000314BF">
        <w:rPr>
          <w:rFonts w:cstheme="minorHAnsi"/>
        </w:rPr>
        <w:t xml:space="preserve">i vzniku odpadů. </w:t>
      </w:r>
      <w:r w:rsidRPr="000314BF">
        <w:rPr>
          <w:rFonts w:cstheme="minorHAnsi"/>
          <w:sz w:val="22"/>
        </w:rPr>
        <w:t> </w:t>
      </w:r>
    </w:p>
    <w:p w:rsidR="00F708C8" w:rsidRPr="000314BF" w:rsidRDefault="008C12E6" w:rsidP="00F708C8">
      <w:pPr>
        <w:pStyle w:val="Odstavecseseznamem"/>
        <w:numPr>
          <w:ilvl w:val="0"/>
          <w:numId w:val="8"/>
        </w:numPr>
        <w:spacing w:before="120" w:after="120" w:line="276" w:lineRule="auto"/>
        <w:ind w:left="714" w:hanging="357"/>
        <w:rPr>
          <w:rFonts w:cstheme="minorHAnsi"/>
          <w:b/>
          <w:u w:val="single"/>
        </w:rPr>
      </w:pPr>
      <w:r w:rsidRPr="000314BF">
        <w:rPr>
          <w:rFonts w:cstheme="minorHAnsi"/>
          <w:b/>
          <w:u w:val="single"/>
        </w:rPr>
        <w:t>St</w:t>
      </w:r>
      <w:r w:rsidR="00AF5241" w:rsidRPr="000314BF">
        <w:rPr>
          <w:rFonts w:cstheme="minorHAnsi"/>
          <w:b/>
          <w:u w:val="single"/>
        </w:rPr>
        <w:t>á</w:t>
      </w:r>
      <w:r w:rsidRPr="000314BF">
        <w:rPr>
          <w:rFonts w:cstheme="minorHAnsi"/>
          <w:b/>
          <w:u w:val="single"/>
        </w:rPr>
        <w:t>tní politika životního prostředí 2030 s výhledem do 2050</w:t>
      </w:r>
    </w:p>
    <w:p w:rsidR="00F708C8" w:rsidRPr="000314BF" w:rsidRDefault="008C12E6" w:rsidP="00F708C8">
      <w:pPr>
        <w:spacing w:before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>Dokument vyjadřuje resortní politiku k ochraně životního prostředí. Zpracování materiálu „Státní politika životního prostředí České republiky 2030 s výhledem do 2050“ vzešlo z u</w:t>
      </w:r>
      <w:r w:rsidRPr="000314BF">
        <w:rPr>
          <w:rFonts w:cstheme="minorHAnsi"/>
        </w:rPr>
        <w:t>snesení vlády č. 1026 ze dne 23. 11. 2016, s termínem předložit ho vládě do 31. prosince 2020. Materiál formuluje cíle v oblasti ochrany životního prostředí v ČR, zastřešuje problematiku životního prostředí v celém jejím rozsahu a</w:t>
      </w:r>
      <w:r w:rsidR="00C3150C" w:rsidRPr="000314BF">
        <w:rPr>
          <w:rFonts w:cstheme="minorHAnsi"/>
        </w:rPr>
        <w:t> </w:t>
      </w:r>
      <w:r w:rsidRPr="000314BF">
        <w:rPr>
          <w:rFonts w:cstheme="minorHAnsi"/>
        </w:rPr>
        <w:t>stanovuje strategické smě</w:t>
      </w:r>
      <w:r w:rsidRPr="000314BF">
        <w:rPr>
          <w:rFonts w:cstheme="minorHAnsi"/>
        </w:rPr>
        <w:t xml:space="preserve">řování do roku 2030 s výhledem do roku 2050. </w:t>
      </w:r>
    </w:p>
    <w:p w:rsidR="00F708C8" w:rsidRPr="000314BF" w:rsidRDefault="008C12E6" w:rsidP="00F708C8">
      <w:pPr>
        <w:spacing w:before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>Přípravu dokumentu byla zahájena v roce 2019 a do příprav byla zahrnuta i široká veřejnost a rámci dvou kol veřejných konzultací (3/2019 a 7/2020). Respondenti měli možnost vyjádřit se se vyjadřovali formou web</w:t>
      </w:r>
      <w:r w:rsidRPr="000314BF">
        <w:rPr>
          <w:rFonts w:cstheme="minorHAnsi"/>
        </w:rPr>
        <w:t xml:space="preserve">ových dotazníků a tímto způsobem bylo zaznamenáno mnoho doporučení pro další období i v problematice předcházení vzniku odpadů. </w:t>
      </w:r>
    </w:p>
    <w:p w:rsidR="00F708C8" w:rsidRPr="000314BF" w:rsidRDefault="008C12E6" w:rsidP="00F708C8">
      <w:pPr>
        <w:spacing w:before="120" w:line="276" w:lineRule="auto"/>
        <w:ind w:left="720"/>
        <w:rPr>
          <w:rFonts w:ascii="Arial" w:hAnsi="Arial" w:cs="Arial"/>
          <w:sz w:val="30"/>
          <w:szCs w:val="30"/>
        </w:rPr>
      </w:pPr>
      <w:r w:rsidRPr="000314BF">
        <w:rPr>
          <w:rFonts w:cstheme="minorHAnsi"/>
        </w:rPr>
        <w:t xml:space="preserve">Během první konzultace v březnu 2019 bylo přijato celkem 963 podnětů. Dle získaných podnětů respondenti shledávají, že v rámci </w:t>
      </w:r>
      <w:r w:rsidRPr="000314BF">
        <w:rPr>
          <w:rFonts w:cstheme="minorHAnsi"/>
        </w:rPr>
        <w:t>životního prostředí ČR došlo ke značnému zlepšení v oblasti odpadů, a to díky zvýšenému nárůstu recyklace.</w:t>
      </w:r>
      <w:r w:rsidRPr="000314BF">
        <w:rPr>
          <w:rFonts w:ascii="Arial" w:hAnsi="Arial" w:cs="Arial"/>
          <w:sz w:val="30"/>
          <w:szCs w:val="30"/>
        </w:rPr>
        <w:t xml:space="preserve"> </w:t>
      </w:r>
    </w:p>
    <w:p w:rsidR="00F708C8" w:rsidRPr="000314BF" w:rsidRDefault="008C12E6" w:rsidP="00F708C8">
      <w:pPr>
        <w:spacing w:before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lastRenderedPageBreak/>
        <w:t>V červenci 2020 proběhla druhá veřejná konzultace, do které se zapojilo celkem 65 subjektů. V oblasti oběhového hospodářství směřovala doporučení na</w:t>
      </w:r>
      <w:r w:rsidRPr="000314BF">
        <w:rPr>
          <w:rFonts w:cstheme="minorHAnsi"/>
        </w:rPr>
        <w:t xml:space="preserve"> chování obyvatel, především k zaměření se na osobní zodpovědnost při třídění odpadu. Respondenti vyžadovali přísnější dohled na transparentnost původu produktů (uváděním země původu) a systémovou prevenci vzniku odpadu. Další doporučení se týkala omezení </w:t>
      </w:r>
      <w:r w:rsidRPr="000314BF">
        <w:rPr>
          <w:rFonts w:cstheme="minorHAnsi"/>
        </w:rPr>
        <w:t>výrobků na jedno použití, ale i rozvoje nehmotných účtenek a rozšíření konceptu bezobalových potravin i ve větších obchodních řetězcích</w:t>
      </w:r>
      <w:r w:rsidR="00B8191B">
        <w:rPr>
          <w:rFonts w:cstheme="minorHAnsi"/>
        </w:rPr>
        <w:t>.</w:t>
      </w:r>
    </w:p>
    <w:p w:rsidR="00F708C8" w:rsidRPr="000314BF" w:rsidRDefault="008C12E6" w:rsidP="00F708C8">
      <w:pPr>
        <w:spacing w:before="120" w:line="276" w:lineRule="auto"/>
        <w:ind w:left="720"/>
        <w:rPr>
          <w:rFonts w:cstheme="minorHAnsi"/>
          <w:b/>
        </w:rPr>
      </w:pPr>
      <w:r w:rsidRPr="000314BF">
        <w:rPr>
          <w:rFonts w:cstheme="minorHAnsi"/>
          <w:b/>
        </w:rPr>
        <w:t>Strategické cíle pro oblast předcházení vzniku odpadů:</w:t>
      </w:r>
    </w:p>
    <w:p w:rsidR="00F708C8" w:rsidRPr="000314BF" w:rsidRDefault="008C12E6" w:rsidP="00F708C8">
      <w:pPr>
        <w:spacing w:before="120" w:line="276" w:lineRule="auto"/>
        <w:ind w:left="720"/>
        <w:rPr>
          <w:rFonts w:cstheme="minorHAnsi"/>
          <w:b/>
        </w:rPr>
      </w:pPr>
      <w:r w:rsidRPr="000314BF">
        <w:rPr>
          <w:rFonts w:cstheme="minorHAnsi"/>
          <w:b/>
        </w:rPr>
        <w:t xml:space="preserve">2.2 Oběhové hospodářství zaručuje hospodárné nakládání se </w:t>
      </w:r>
      <w:r w:rsidRPr="000314BF">
        <w:rPr>
          <w:rFonts w:cstheme="minorHAnsi"/>
          <w:b/>
        </w:rPr>
        <w:t>surovinami, výrobky a</w:t>
      </w:r>
      <w:r w:rsidR="00C3150C" w:rsidRPr="000314BF">
        <w:rPr>
          <w:rFonts w:cstheme="minorHAnsi"/>
          <w:b/>
        </w:rPr>
        <w:t> </w:t>
      </w:r>
      <w:r w:rsidRPr="000314BF">
        <w:rPr>
          <w:rFonts w:cstheme="minorHAnsi"/>
          <w:b/>
        </w:rPr>
        <w:t>odpady v ČR</w:t>
      </w:r>
    </w:p>
    <w:p w:rsidR="00F708C8" w:rsidRPr="000314BF" w:rsidRDefault="008C12E6" w:rsidP="00F708C8">
      <w:pPr>
        <w:spacing w:before="120" w:line="276" w:lineRule="auto"/>
        <w:ind w:left="720"/>
        <w:rPr>
          <w:rFonts w:cstheme="minorHAnsi"/>
          <w:b/>
          <w:i/>
        </w:rPr>
      </w:pPr>
      <w:r w:rsidRPr="000314BF">
        <w:rPr>
          <w:rFonts w:cstheme="minorHAnsi"/>
          <w:b/>
          <w:i/>
        </w:rPr>
        <w:t>2.2.2 Maximálně se předchází vzniku odpadů</w:t>
      </w:r>
    </w:p>
    <w:p w:rsidR="00896872" w:rsidRPr="000314BF" w:rsidRDefault="008C12E6" w:rsidP="00F708C8">
      <w:pPr>
        <w:spacing w:before="120" w:line="276" w:lineRule="auto"/>
        <w:ind w:left="72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Realizace typových opatření významně přispívá k plnění cílů odpadového hospodářství a předcházení vzniku odpadů. </w:t>
      </w:r>
    </w:p>
    <w:p w:rsidR="00F708C8" w:rsidRPr="000314BF" w:rsidRDefault="008C12E6" w:rsidP="00896872">
      <w:pPr>
        <w:spacing w:before="120" w:line="276" w:lineRule="auto"/>
        <w:ind w:left="72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Příklady typových opatření: Podpora </w:t>
      </w:r>
      <w:proofErr w:type="spellStart"/>
      <w:r w:rsidRPr="000314BF">
        <w:rPr>
          <w:rFonts w:cstheme="minorHAnsi"/>
          <w:szCs w:val="24"/>
        </w:rPr>
        <w:t>nízkoodpadových</w:t>
      </w:r>
      <w:proofErr w:type="spellEnd"/>
      <w:r w:rsidRPr="000314BF">
        <w:rPr>
          <w:rFonts w:cstheme="minorHAnsi"/>
          <w:szCs w:val="24"/>
        </w:rPr>
        <w:t xml:space="preserve"> a </w:t>
      </w:r>
      <w:r w:rsidRPr="000314BF">
        <w:rPr>
          <w:rFonts w:cstheme="minorHAnsi"/>
          <w:szCs w:val="24"/>
        </w:rPr>
        <w:t>inovativních technologií ve výrobě. Zaměření se na postupy umožňující náhradu primárních surovin druhotnými. Podpora sdílení výrobků, center opětovného využití a oprav, vč. dlouhodobé dostupnosti náhradních dílů. Omezování plýtvání potravinami, vč. zvyšová</w:t>
      </w:r>
      <w:r w:rsidRPr="000314BF">
        <w:rPr>
          <w:rFonts w:cstheme="minorHAnsi"/>
          <w:szCs w:val="24"/>
        </w:rPr>
        <w:t xml:space="preserve">ní využití </w:t>
      </w:r>
      <w:proofErr w:type="spellStart"/>
      <w:r w:rsidRPr="000314BF">
        <w:rPr>
          <w:rFonts w:cstheme="minorHAnsi"/>
          <w:szCs w:val="24"/>
        </w:rPr>
        <w:t>gastroodpadu</w:t>
      </w:r>
      <w:proofErr w:type="spellEnd"/>
      <w:r w:rsidRPr="000314BF">
        <w:rPr>
          <w:rFonts w:cstheme="minorHAnsi"/>
          <w:szCs w:val="24"/>
        </w:rPr>
        <w:t>. Informační podpora předcházení vzniku odpadů např. v rámci odborného vzdělávání environmentální výchovy a vzdělávání. Podpora zájmu spotřebitelů i průmyslu o recyklované produkty, vč. rozšíření spektra certifikovaných produktů a sl</w:t>
      </w:r>
      <w:r w:rsidRPr="000314BF">
        <w:rPr>
          <w:rFonts w:cstheme="minorHAnsi"/>
          <w:szCs w:val="24"/>
        </w:rPr>
        <w:t>užeb (</w:t>
      </w:r>
      <w:proofErr w:type="spellStart"/>
      <w:r w:rsidRPr="000314BF">
        <w:rPr>
          <w:rFonts w:cstheme="minorHAnsi"/>
          <w:szCs w:val="24"/>
        </w:rPr>
        <w:t>ekoznačení</w:t>
      </w:r>
      <w:proofErr w:type="spellEnd"/>
      <w:r w:rsidRPr="000314BF">
        <w:rPr>
          <w:rFonts w:cstheme="minorHAnsi"/>
          <w:szCs w:val="24"/>
        </w:rPr>
        <w:t>). V případě veřejné správy upřednostnění odpovědného veřejného zadávání.</w:t>
      </w:r>
    </w:p>
    <w:p w:rsidR="00F708C8" w:rsidRPr="000314BF" w:rsidRDefault="008C12E6" w:rsidP="00F708C8">
      <w:pPr>
        <w:spacing w:before="120" w:line="276" w:lineRule="auto"/>
        <w:ind w:left="720"/>
        <w:rPr>
          <w:rFonts w:cstheme="minorHAnsi"/>
          <w:b/>
          <w:i/>
          <w:szCs w:val="24"/>
        </w:rPr>
      </w:pPr>
      <w:r w:rsidRPr="000314BF">
        <w:rPr>
          <w:rFonts w:cstheme="minorHAnsi"/>
          <w:b/>
          <w:i/>
          <w:szCs w:val="24"/>
        </w:rPr>
        <w:t>2.2.3 Hierarchie způsobů nakládání s odpady je dodržována</w:t>
      </w:r>
    </w:p>
    <w:p w:rsidR="00F708C8" w:rsidRPr="000314BF" w:rsidRDefault="008C12E6" w:rsidP="002631AB">
      <w:pPr>
        <w:spacing w:before="120" w:after="360" w:line="276" w:lineRule="auto"/>
        <w:ind w:left="72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>Příklady typových opatření: Informační podpora prosazování hierarchie nakládání s</w:t>
      </w:r>
      <w:r w:rsidR="00C3150C" w:rsidRPr="000314BF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>odpady. Podpora kvalitnějš</w:t>
      </w:r>
      <w:r w:rsidRPr="000314BF">
        <w:rPr>
          <w:rFonts w:cstheme="minorHAnsi"/>
          <w:szCs w:val="24"/>
        </w:rPr>
        <w:t xml:space="preserve">ího třídění stavebního odpadu a osvěta k preferenci oprav a úprav staveb namísto plošných demolic. Podpora a motivace zemědělců k využívání kompostů z bioodpadů. </w:t>
      </w:r>
    </w:p>
    <w:p w:rsidR="001C7DCB" w:rsidRPr="000314BF" w:rsidRDefault="008C12E6" w:rsidP="001C7DCB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t>Strategie regionálního rozvoje CR na období 2014–2020</w:t>
      </w:r>
    </w:p>
    <w:p w:rsidR="001C7DCB" w:rsidRPr="000314BF" w:rsidRDefault="008C12E6" w:rsidP="001C7DCB">
      <w:pPr>
        <w:spacing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>Strategii vydalo Ministerstvo pro místn</w:t>
      </w:r>
      <w:r w:rsidRPr="000314BF">
        <w:rPr>
          <w:rFonts w:cstheme="minorHAnsi"/>
        </w:rPr>
        <w:t>í rozvoj v dubnu 2013 a je základním koncepčním dokumentem v oblasti regionálního rozvoje. Koncepce je členěna na 4</w:t>
      </w:r>
      <w:r w:rsidR="00D43651" w:rsidRPr="000314BF">
        <w:rPr>
          <w:rFonts w:cstheme="minorHAnsi"/>
        </w:rPr>
        <w:t> </w:t>
      </w:r>
      <w:r w:rsidRPr="000314BF">
        <w:rPr>
          <w:rFonts w:cstheme="minorHAnsi"/>
        </w:rPr>
        <w:t>základní prioritní oblasti: regionální konkurenceschopnost, územní soudržnost, environmentální udržitelnost, veřejná správa.</w:t>
      </w:r>
    </w:p>
    <w:p w:rsidR="001C7DCB" w:rsidRPr="000314BF" w:rsidRDefault="008C12E6" w:rsidP="001C7DCB">
      <w:pPr>
        <w:spacing w:line="276" w:lineRule="auto"/>
        <w:ind w:left="777"/>
        <w:rPr>
          <w:rFonts w:cstheme="minorHAnsi"/>
          <w:b/>
        </w:rPr>
      </w:pPr>
      <w:r w:rsidRPr="000314BF">
        <w:rPr>
          <w:rFonts w:cstheme="minorHAnsi"/>
        </w:rPr>
        <w:t>Cíl v oblasti p</w:t>
      </w:r>
      <w:r w:rsidRPr="000314BF">
        <w:rPr>
          <w:rFonts w:cstheme="minorHAnsi"/>
        </w:rPr>
        <w:t>ředcházení vzniku odpadů:</w:t>
      </w:r>
      <w:r w:rsidRPr="000314BF">
        <w:rPr>
          <w:rFonts w:cstheme="minorHAnsi"/>
          <w:b/>
        </w:rPr>
        <w:t xml:space="preserve"> </w:t>
      </w:r>
    </w:p>
    <w:p w:rsidR="001C7DCB" w:rsidRPr="000314BF" w:rsidRDefault="008C12E6" w:rsidP="001C7DCB">
      <w:pPr>
        <w:spacing w:line="276" w:lineRule="auto"/>
        <w:ind w:left="777"/>
        <w:rPr>
          <w:rFonts w:cstheme="minorHAnsi"/>
          <w:i/>
        </w:rPr>
      </w:pPr>
      <w:r w:rsidRPr="000314BF">
        <w:rPr>
          <w:rFonts w:cstheme="minorHAnsi"/>
          <w:i/>
        </w:rPr>
        <w:t>Na místní a regionální úrovni zajistit ochranu a udržitelné využívání půdního a horninového prostředí, ochranu zdrojů pitné vody, prevenci a omezování vzniku odpadů a jejich negativního vlivu na životní prostředí, efektivní a šet</w:t>
      </w:r>
      <w:r w:rsidRPr="000314BF">
        <w:rPr>
          <w:rFonts w:cstheme="minorHAnsi"/>
          <w:i/>
        </w:rPr>
        <w:t xml:space="preserve">rné využívání </w:t>
      </w:r>
      <w:r w:rsidRPr="000314BF">
        <w:rPr>
          <w:rFonts w:cstheme="minorHAnsi"/>
          <w:i/>
        </w:rPr>
        <w:lastRenderedPageBreak/>
        <w:t xml:space="preserve">obnovitelných zdrojů energie (zejména malých zdrojů, jejichž výkon je spotřebováván v místě výroby), ochranu a zlepšení stavu vod a snižování úrovně znečištění ovzduší a emisí skleníkových plynů. </w:t>
      </w:r>
    </w:p>
    <w:p w:rsidR="001C7DCB" w:rsidRPr="000314BF" w:rsidRDefault="008C12E6" w:rsidP="001C7DCB">
      <w:pPr>
        <w:spacing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>Opatření je zaměřeno na snížení produkce komu</w:t>
      </w:r>
      <w:r w:rsidRPr="000314BF">
        <w:rPr>
          <w:rFonts w:cstheme="minorHAnsi"/>
        </w:rPr>
        <w:t>nálního odpadu, podporu prevence a</w:t>
      </w:r>
      <w:r w:rsidR="00D43651" w:rsidRPr="000314BF">
        <w:rPr>
          <w:rFonts w:cstheme="minorHAnsi"/>
        </w:rPr>
        <w:t> </w:t>
      </w:r>
      <w:r w:rsidRPr="000314BF">
        <w:rPr>
          <w:rFonts w:cstheme="minorHAnsi"/>
        </w:rPr>
        <w:t>zejména inovativních přístupů k jeho dalšímu materiálovému využití a podporu technologií v oblasti odpadového hospodářství. To vše zejména s ohledem na specifika obcí (malé obce, obce v členitých územích) apod.</w:t>
      </w:r>
    </w:p>
    <w:p w:rsidR="00D85882" w:rsidRDefault="008C12E6" w:rsidP="00367076">
      <w:pPr>
        <w:spacing w:after="360" w:line="276" w:lineRule="auto"/>
        <w:ind w:left="777"/>
        <w:rPr>
          <w:rFonts w:cstheme="minorHAnsi"/>
          <w:i/>
        </w:rPr>
      </w:pPr>
      <w:r w:rsidRPr="000314BF">
        <w:rPr>
          <w:rFonts w:cstheme="minorHAnsi"/>
        </w:rPr>
        <w:t xml:space="preserve">Opatření: </w:t>
      </w:r>
      <w:r w:rsidRPr="000314BF">
        <w:rPr>
          <w:rFonts w:cstheme="minorHAnsi"/>
          <w:i/>
        </w:rPr>
        <w:t>6.2 Snížení produkce komunálních odpadů a zvýšení jejich materiálového využití.</w:t>
      </w:r>
    </w:p>
    <w:p w:rsidR="009D2081" w:rsidRPr="000314BF" w:rsidRDefault="008C12E6" w:rsidP="009D2081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szCs w:val="24"/>
          <w:u w:val="single"/>
        </w:rPr>
      </w:pPr>
      <w:r w:rsidRPr="000314BF">
        <w:rPr>
          <w:rFonts w:cstheme="minorHAnsi"/>
          <w:b/>
          <w:bCs/>
          <w:szCs w:val="24"/>
          <w:u w:val="single"/>
        </w:rPr>
        <w:t>Strategie regionálního rozvoje ČR 2021+</w:t>
      </w:r>
    </w:p>
    <w:p w:rsidR="009D2081" w:rsidRPr="000314BF" w:rsidRDefault="008C12E6" w:rsidP="00312020">
      <w:pPr>
        <w:spacing w:before="120" w:after="120" w:line="276" w:lineRule="auto"/>
        <w:ind w:left="709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Strategii regionálního rozvoje ČR 2021+ schválila vláda usnesením vlády č. 775 z listopadu 2019. MMR stanovilo hlavní cíle regionální </w:t>
      </w:r>
      <w:r w:rsidRPr="000314BF">
        <w:rPr>
          <w:rFonts w:cstheme="minorHAnsi"/>
          <w:szCs w:val="24"/>
        </w:rPr>
        <w:t>politiky státu v</w:t>
      </w:r>
      <w:r w:rsidR="00B8191B">
        <w:rPr>
          <w:rFonts w:cstheme="minorHAnsi"/>
          <w:szCs w:val="24"/>
        </w:rPr>
        <w:t> </w:t>
      </w:r>
      <w:r w:rsidRPr="000314BF">
        <w:rPr>
          <w:rFonts w:cstheme="minorHAnsi"/>
          <w:szCs w:val="24"/>
        </w:rPr>
        <w:t>období</w:t>
      </w:r>
      <w:r w:rsidR="00B8191B">
        <w:rPr>
          <w:rFonts w:cstheme="minorHAnsi"/>
          <w:szCs w:val="24"/>
        </w:rPr>
        <w:t> </w:t>
      </w:r>
      <w:r w:rsidR="00B8191B" w:rsidRPr="000314BF">
        <w:rPr>
          <w:rFonts w:cstheme="minorHAnsi"/>
          <w:szCs w:val="24"/>
        </w:rPr>
        <w:t>202</w:t>
      </w:r>
      <w:r w:rsidR="00B8191B">
        <w:rPr>
          <w:rFonts w:cstheme="minorHAnsi"/>
          <w:szCs w:val="24"/>
        </w:rPr>
        <w:t>1–2027</w:t>
      </w:r>
      <w:r w:rsidRPr="000314BF">
        <w:rPr>
          <w:rFonts w:cstheme="minorHAnsi"/>
          <w:szCs w:val="24"/>
        </w:rPr>
        <w:t xml:space="preserve"> s ohledem na podporu dynamického, vyváženého a udržitelného rozvoje území. </w:t>
      </w:r>
    </w:p>
    <w:p w:rsidR="009D2081" w:rsidRPr="000314BF" w:rsidRDefault="008C12E6" w:rsidP="000650CC">
      <w:pPr>
        <w:spacing w:after="360" w:line="276" w:lineRule="auto"/>
        <w:ind w:left="709"/>
        <w:rPr>
          <w:rFonts w:cstheme="minorHAnsi"/>
          <w:sz w:val="22"/>
        </w:rPr>
      </w:pPr>
      <w:r w:rsidRPr="000314BF">
        <w:rPr>
          <w:rFonts w:cstheme="minorHAnsi"/>
          <w:szCs w:val="24"/>
        </w:rPr>
        <w:t>Strategi</w:t>
      </w:r>
      <w:r w:rsidR="00312020" w:rsidRPr="000314BF">
        <w:rPr>
          <w:rFonts w:cstheme="minorHAnsi"/>
          <w:szCs w:val="24"/>
        </w:rPr>
        <w:t>e</w:t>
      </w:r>
      <w:r w:rsidRPr="000314BF">
        <w:rPr>
          <w:rFonts w:cstheme="minorHAnsi"/>
          <w:szCs w:val="24"/>
        </w:rPr>
        <w:t xml:space="preserve"> regionálního rozvoje ČR 2021+ nastav</w:t>
      </w:r>
      <w:r w:rsidR="00312020" w:rsidRPr="000314BF">
        <w:rPr>
          <w:rFonts w:cstheme="minorHAnsi"/>
          <w:szCs w:val="24"/>
        </w:rPr>
        <w:t>uje</w:t>
      </w:r>
      <w:r w:rsidRPr="000314BF">
        <w:rPr>
          <w:rFonts w:cstheme="minorHAnsi"/>
          <w:szCs w:val="24"/>
        </w:rPr>
        <w:t xml:space="preserve"> také doporučení pro vytváření akčních plánů. Pro oblast vlivu na životní prostředí a veřejné zdraví bylo mimo jiné doporučeno:</w:t>
      </w:r>
      <w:r w:rsidR="00312020" w:rsidRPr="000314BF">
        <w:rPr>
          <w:rFonts w:cstheme="minorHAnsi"/>
          <w:szCs w:val="24"/>
        </w:rPr>
        <w:t xml:space="preserve"> </w:t>
      </w:r>
      <w:r w:rsidRPr="000314BF">
        <w:rPr>
          <w:rFonts w:cstheme="minorHAnsi"/>
          <w:szCs w:val="24"/>
        </w:rPr>
        <w:t>Předcházet vzniku odpadů a uplatňovat principy cirkulární ekonomiky (oběhového hospodářství). V rámci hierarchie nakládání s odp</w:t>
      </w:r>
      <w:r w:rsidRPr="000314BF">
        <w:rPr>
          <w:rFonts w:cstheme="minorHAnsi"/>
          <w:szCs w:val="24"/>
        </w:rPr>
        <w:t xml:space="preserve">ady kategorie jiné využití odpadů přednostně podporovat kompostování a anaerobní rozklad u těch, u kterých je to z hlediska především environmentálních a zdravotních rizik je možné. </w:t>
      </w:r>
    </w:p>
    <w:p w:rsidR="009D2081" w:rsidRPr="000314BF" w:rsidRDefault="008C12E6" w:rsidP="009D2081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t>Program rozvoje venkova (PRV)</w:t>
      </w:r>
    </w:p>
    <w:p w:rsidR="009D2081" w:rsidRPr="000314BF" w:rsidRDefault="008C12E6" w:rsidP="009D2081">
      <w:pPr>
        <w:spacing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>Program rozvoje venkova je vázán na Evropsk</w:t>
      </w:r>
      <w:r w:rsidRPr="000314BF">
        <w:rPr>
          <w:rFonts w:cstheme="minorHAnsi"/>
        </w:rPr>
        <w:t xml:space="preserve">ý zemědělský fond pro rozvoj venkova, řídícím orgánem je Ministerstvo zemědělství. </w:t>
      </w:r>
    </w:p>
    <w:p w:rsidR="009D2081" w:rsidRPr="000314BF" w:rsidRDefault="008C12E6" w:rsidP="009D2081">
      <w:pPr>
        <w:spacing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 xml:space="preserve">Hlavním cílem programu je obnova, zachování a zlepšení ekosystémů závislých na zemědělství prostřednictvím zejména </w:t>
      </w:r>
      <w:proofErr w:type="spellStart"/>
      <w:r w:rsidRPr="000314BF">
        <w:rPr>
          <w:rFonts w:cstheme="minorHAnsi"/>
        </w:rPr>
        <w:t>agroenvironmentálních</w:t>
      </w:r>
      <w:proofErr w:type="spellEnd"/>
      <w:r w:rsidRPr="000314BF">
        <w:rPr>
          <w:rFonts w:cstheme="minorHAnsi"/>
        </w:rPr>
        <w:t xml:space="preserve"> opatření, dále investice pro konkur</w:t>
      </w:r>
      <w:r w:rsidRPr="000314BF">
        <w:rPr>
          <w:rFonts w:cstheme="minorHAnsi"/>
        </w:rPr>
        <w:t>enceschopnost a inovace zemědělských podniků, podpora vstupu mladých lidí do zemědělství nebo krajinná infrastruktura.</w:t>
      </w:r>
    </w:p>
    <w:p w:rsidR="009D2081" w:rsidRPr="000314BF" w:rsidRDefault="008C12E6" w:rsidP="000650CC">
      <w:pPr>
        <w:spacing w:after="360"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>Opařeními se vztahem k prevenci odpadů jsou opatření 16.2.1 Podpora vývoje nových produktů, postupů a technologií v zemědělské prvovýrobě</w:t>
      </w:r>
      <w:r w:rsidRPr="000314BF">
        <w:rPr>
          <w:rFonts w:cstheme="minorHAnsi"/>
        </w:rPr>
        <w:t xml:space="preserve"> a 16.2.2 Podpora vývoje nových produktů, postupů a technologií při zpracování produktů a jejich uvádění na trh.</w:t>
      </w:r>
    </w:p>
    <w:p w:rsidR="009D2081" w:rsidRPr="000314BF" w:rsidRDefault="008C12E6" w:rsidP="009D2081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t>Akční plán Strategie regionálního rozvoje 21‐22</w:t>
      </w:r>
    </w:p>
    <w:p w:rsidR="009D2081" w:rsidRPr="000314BF" w:rsidRDefault="008C12E6" w:rsidP="00176D12">
      <w:pPr>
        <w:spacing w:after="360"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 xml:space="preserve">Jako implementační dokument Strategie regionálního rozvoje ČR 2021+ a Koncepce rozvoje venkova </w:t>
      </w:r>
      <w:r w:rsidRPr="000314BF">
        <w:rPr>
          <w:rFonts w:cstheme="minorHAnsi"/>
        </w:rPr>
        <w:t xml:space="preserve">je ve spolupráci expertních týmů a pracovních skupin s garancí MMR </w:t>
      </w:r>
      <w:r w:rsidR="00176D12" w:rsidRPr="000314BF">
        <w:rPr>
          <w:rFonts w:cstheme="minorHAnsi"/>
        </w:rPr>
        <w:t xml:space="preserve">byl v roce 2020 </w:t>
      </w:r>
      <w:r w:rsidRPr="000314BF">
        <w:rPr>
          <w:rFonts w:cstheme="minorHAnsi"/>
        </w:rPr>
        <w:t xml:space="preserve">připravován Akční plán Strategie regionálního </w:t>
      </w:r>
      <w:proofErr w:type="gramStart"/>
      <w:r w:rsidRPr="000314BF">
        <w:rPr>
          <w:rFonts w:cstheme="minorHAnsi"/>
        </w:rPr>
        <w:t xml:space="preserve">rozvoje </w:t>
      </w:r>
      <w:r w:rsidR="00B8191B">
        <w:rPr>
          <w:rFonts w:cstheme="minorHAnsi"/>
        </w:rPr>
        <w:t xml:space="preserve"> </w:t>
      </w:r>
      <w:r w:rsidR="00B8191B" w:rsidRPr="000314BF">
        <w:rPr>
          <w:rFonts w:cstheme="minorHAnsi"/>
        </w:rPr>
        <w:t>21</w:t>
      </w:r>
      <w:proofErr w:type="gramEnd"/>
      <w:r w:rsidR="00B8191B">
        <w:rPr>
          <w:rFonts w:cstheme="minorHAnsi"/>
        </w:rPr>
        <w:t>–22</w:t>
      </w:r>
      <w:r w:rsidRPr="000314BF">
        <w:rPr>
          <w:rFonts w:cstheme="minorHAnsi"/>
        </w:rPr>
        <w:t xml:space="preserve">. </w:t>
      </w:r>
    </w:p>
    <w:p w:rsidR="009D2081" w:rsidRPr="000314BF" w:rsidRDefault="008C12E6" w:rsidP="009D2081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lastRenderedPageBreak/>
        <w:t xml:space="preserve">Národní akční plán společenské odpovědnosti organizací v ČR </w:t>
      </w:r>
    </w:p>
    <w:p w:rsidR="009D2081" w:rsidRPr="000314BF" w:rsidRDefault="008C12E6" w:rsidP="009D2081">
      <w:pPr>
        <w:spacing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>Cílem Národního akčního plánu společenské odpověd</w:t>
      </w:r>
      <w:r w:rsidRPr="000314BF">
        <w:rPr>
          <w:rFonts w:cstheme="minorHAnsi"/>
        </w:rPr>
        <w:t>nosti organizací v ČR je přispět k rozvoji konceptu společenské odpovědnosti organizací („</w:t>
      </w:r>
      <w:proofErr w:type="spellStart"/>
      <w:r w:rsidR="00D773BF" w:rsidRPr="000314BF">
        <w:rPr>
          <w:rFonts w:cstheme="minorHAnsi"/>
        </w:rPr>
        <w:t>C</w:t>
      </w:r>
      <w:r w:rsidRPr="000314BF">
        <w:rPr>
          <w:rFonts w:cstheme="minorHAnsi"/>
        </w:rPr>
        <w:t>orporate</w:t>
      </w:r>
      <w:proofErr w:type="spellEnd"/>
      <w:r w:rsidRPr="000314BF">
        <w:rPr>
          <w:rFonts w:cstheme="minorHAnsi"/>
        </w:rPr>
        <w:t xml:space="preserve"> </w:t>
      </w:r>
      <w:proofErr w:type="spellStart"/>
      <w:r w:rsidR="00D773BF" w:rsidRPr="000314BF">
        <w:rPr>
          <w:rFonts w:cstheme="minorHAnsi"/>
        </w:rPr>
        <w:t>S</w:t>
      </w:r>
      <w:r w:rsidRPr="000314BF">
        <w:rPr>
          <w:rFonts w:cstheme="minorHAnsi"/>
        </w:rPr>
        <w:t>ocial</w:t>
      </w:r>
      <w:proofErr w:type="spellEnd"/>
      <w:r w:rsidRPr="000314BF">
        <w:rPr>
          <w:rFonts w:cstheme="minorHAnsi"/>
        </w:rPr>
        <w:t xml:space="preserve"> </w:t>
      </w:r>
      <w:proofErr w:type="spellStart"/>
      <w:r w:rsidR="00D773BF" w:rsidRPr="000314BF">
        <w:rPr>
          <w:rFonts w:cstheme="minorHAnsi"/>
        </w:rPr>
        <w:t>R</w:t>
      </w:r>
      <w:r w:rsidRPr="000314BF">
        <w:rPr>
          <w:rFonts w:cstheme="minorHAnsi"/>
        </w:rPr>
        <w:t>esponsibility</w:t>
      </w:r>
      <w:proofErr w:type="spellEnd"/>
      <w:r w:rsidRPr="000314BF">
        <w:rPr>
          <w:rFonts w:cstheme="minorHAnsi"/>
        </w:rPr>
        <w:t>“ – CSR) a jeho pozitivních dopadů na společnost, hospodářský rozvoj a</w:t>
      </w:r>
      <w:r w:rsidR="00D00F0D" w:rsidRPr="000314BF">
        <w:rPr>
          <w:rFonts w:cstheme="minorHAnsi"/>
        </w:rPr>
        <w:t> </w:t>
      </w:r>
      <w:r w:rsidRPr="000314BF">
        <w:rPr>
          <w:rFonts w:cstheme="minorHAnsi"/>
        </w:rPr>
        <w:t>konkurenceschopnost Č</w:t>
      </w:r>
      <w:r w:rsidR="00D00F0D" w:rsidRPr="000314BF">
        <w:rPr>
          <w:rFonts w:cstheme="minorHAnsi"/>
        </w:rPr>
        <w:t>R</w:t>
      </w:r>
      <w:r w:rsidRPr="000314BF">
        <w:rPr>
          <w:rFonts w:cstheme="minorHAnsi"/>
        </w:rPr>
        <w:t>. Strategie je uzpůsobena tomu, aby koncept zůstával na rovině dobrovolnosti, a volí především portfolio komunikačních a propagačních nástrojů, ze strany státu pak především prostředí vytvářející odpovídající podmínky pro jeho hlubší rozšiřování a formu in</w:t>
      </w:r>
      <w:r w:rsidRPr="000314BF">
        <w:rPr>
          <w:rFonts w:cstheme="minorHAnsi"/>
        </w:rPr>
        <w:t xml:space="preserve">tenzivního dialogu. </w:t>
      </w:r>
    </w:p>
    <w:p w:rsidR="009D2081" w:rsidRPr="000314BF" w:rsidRDefault="008C12E6" w:rsidP="009D2081">
      <w:pPr>
        <w:spacing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>V současnosti dochází ve větší míře k prosazování a zavádění společenské odpovědnosti do podniků a organizací, což se odráží jako pozitivní dopady v celé šíři ochrany životního prostředí a předcházení vzniku odpadů. Vazba na Program př</w:t>
      </w:r>
      <w:r w:rsidRPr="000314BF">
        <w:rPr>
          <w:rFonts w:cstheme="minorHAnsi"/>
        </w:rPr>
        <w:t>edcházení vzniku odpadů se pak týká využití specifických prvků politiky. Obecné pozitivní dopady implementace CSR v environmentální oblasti lze očekávat.</w:t>
      </w:r>
    </w:p>
    <w:p w:rsidR="009D2081" w:rsidRPr="000314BF" w:rsidRDefault="008C12E6" w:rsidP="00D00F0D">
      <w:pPr>
        <w:spacing w:after="360" w:line="276" w:lineRule="auto"/>
        <w:ind w:left="777"/>
        <w:rPr>
          <w:rFonts w:cstheme="minorHAnsi"/>
        </w:rPr>
      </w:pPr>
      <w:r w:rsidRPr="000314BF">
        <w:rPr>
          <w:rFonts w:cstheme="minorHAnsi"/>
        </w:rPr>
        <w:t>Jednou z dílčích aktivit Národního akčního plánu společenské odpovědnosti organizací v Č</w:t>
      </w:r>
      <w:r w:rsidR="00D00F0D" w:rsidRPr="000314BF">
        <w:rPr>
          <w:rFonts w:cstheme="minorHAnsi"/>
        </w:rPr>
        <w:t>R</w:t>
      </w:r>
      <w:r w:rsidRPr="000314BF">
        <w:rPr>
          <w:rFonts w:cstheme="minorHAnsi"/>
        </w:rPr>
        <w:t xml:space="preserve"> bylo vytvoře</w:t>
      </w:r>
      <w:r w:rsidRPr="000314BF">
        <w:rPr>
          <w:rFonts w:cstheme="minorHAnsi"/>
        </w:rPr>
        <w:t>ní Platformy zainteresovaných stran CSR. Účastníkem platformy se může stát organizace soukromého i veřejného sektoru zabývající se společenskou odpovědností či subjekt zastřešující určitou odbornou či zájmovou oblast soukromého a veřejného sektoru. MPO zač</w:t>
      </w:r>
      <w:r w:rsidRPr="000314BF">
        <w:rPr>
          <w:rFonts w:cstheme="minorHAnsi"/>
        </w:rPr>
        <w:t xml:space="preserve">alo od roku 2018 pravidelně vydávat </w:t>
      </w:r>
      <w:proofErr w:type="spellStart"/>
      <w:r w:rsidRPr="000314BF">
        <w:rPr>
          <w:rFonts w:cstheme="minorHAnsi"/>
        </w:rPr>
        <w:t>Newsletter</w:t>
      </w:r>
      <w:proofErr w:type="spellEnd"/>
      <w:r w:rsidRPr="000314BF">
        <w:rPr>
          <w:rFonts w:cstheme="minorHAnsi"/>
        </w:rPr>
        <w:t xml:space="preserve"> CSR, kde každá organizace z Platformy zainteresovaných stran CSR tak může přispět svým článkem, a ukázat ostatním organizacím čím se zabývá a co významného se stalo v</w:t>
      </w:r>
      <w:r w:rsidR="00D00F0D" w:rsidRPr="000314BF">
        <w:rPr>
          <w:rFonts w:cstheme="minorHAnsi"/>
        </w:rPr>
        <w:t> </w:t>
      </w:r>
      <w:r w:rsidRPr="000314BF">
        <w:rPr>
          <w:rFonts w:cstheme="minorHAnsi"/>
        </w:rPr>
        <w:t>oblasti společenské odpovědnosti.</w:t>
      </w:r>
    </w:p>
    <w:p w:rsidR="00D00F0D" w:rsidRPr="000314BF" w:rsidRDefault="008C12E6" w:rsidP="00D00F0D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u w:val="single"/>
        </w:rPr>
        <w:t xml:space="preserve">Národní </w:t>
      </w:r>
      <w:r w:rsidRPr="000314BF">
        <w:rPr>
          <w:rFonts w:cstheme="minorHAnsi"/>
          <w:b/>
          <w:u w:val="single"/>
        </w:rPr>
        <w:t>inovační strategie</w:t>
      </w:r>
    </w:p>
    <w:p w:rsidR="00D00F0D" w:rsidRPr="000314BF" w:rsidRDefault="008C12E6" w:rsidP="006E5C61">
      <w:pPr>
        <w:spacing w:after="3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Národní inovační strategii České republiky (NIS) </w:t>
      </w:r>
      <w:r w:rsidR="00B8191B" w:rsidRPr="000314BF">
        <w:rPr>
          <w:rFonts w:cstheme="minorHAnsi"/>
        </w:rPr>
        <w:t>2012</w:t>
      </w:r>
      <w:r w:rsidR="00B8191B">
        <w:rPr>
          <w:rFonts w:cstheme="minorHAnsi"/>
        </w:rPr>
        <w:t>–2020</w:t>
      </w:r>
      <w:r w:rsidRPr="000314BF">
        <w:rPr>
          <w:rFonts w:cstheme="minorHAnsi"/>
        </w:rPr>
        <w:t xml:space="preserve"> schválila vláda 27.</w:t>
      </w:r>
      <w:r w:rsidR="00B8191B">
        <w:rPr>
          <w:rFonts w:cstheme="minorHAnsi"/>
        </w:rPr>
        <w:t> </w:t>
      </w:r>
      <w:r w:rsidRPr="000314BF">
        <w:rPr>
          <w:rFonts w:cstheme="minorHAnsi"/>
        </w:rPr>
        <w:t>září</w:t>
      </w:r>
      <w:r w:rsidR="00B8191B">
        <w:rPr>
          <w:rFonts w:cstheme="minorHAnsi"/>
        </w:rPr>
        <w:t> </w:t>
      </w:r>
      <w:r w:rsidRPr="000314BF">
        <w:rPr>
          <w:rFonts w:cstheme="minorHAnsi"/>
        </w:rPr>
        <w:t>2011</w:t>
      </w:r>
      <w:r w:rsidR="006E5C61" w:rsidRPr="000314BF">
        <w:rPr>
          <w:rFonts w:cstheme="minorHAnsi"/>
        </w:rPr>
        <w:t xml:space="preserve">. </w:t>
      </w:r>
      <w:r w:rsidRPr="000314BF">
        <w:rPr>
          <w:rFonts w:cstheme="minorHAnsi"/>
        </w:rPr>
        <w:t xml:space="preserve">Jedná se o společný dokument MŠMT a MPO, vycházející z analýzy inovačního prostředí České republiky zpracované Technologickým centrem Akademie věd </w:t>
      </w:r>
      <w:r w:rsidRPr="000314BF">
        <w:rPr>
          <w:rFonts w:cstheme="minorHAnsi"/>
        </w:rPr>
        <w:t>ČR. NIS</w:t>
      </w:r>
      <w:r w:rsidR="006E5C61" w:rsidRPr="000314BF">
        <w:rPr>
          <w:rFonts w:cstheme="minorHAnsi"/>
        </w:rPr>
        <w:t> </w:t>
      </w:r>
      <w:r w:rsidRPr="000314BF">
        <w:rPr>
          <w:rFonts w:cstheme="minorHAnsi"/>
        </w:rPr>
        <w:t>tak doplňuje Národní politiku výzkumu, vývoje a inovací České republiky na léta 2009–2015, schválenou v roce 2009.</w:t>
      </w:r>
      <w:r w:rsidR="006E5C61" w:rsidRPr="000314BF">
        <w:rPr>
          <w:rFonts w:cstheme="minorHAnsi"/>
        </w:rPr>
        <w:t xml:space="preserve"> </w:t>
      </w:r>
      <w:r w:rsidRPr="000314BF">
        <w:rPr>
          <w:rFonts w:cstheme="minorHAnsi"/>
        </w:rPr>
        <w:t>Hlavním cílem NIS je posílení významu inovací a</w:t>
      </w:r>
      <w:r w:rsidR="00611D09" w:rsidRPr="000314BF">
        <w:rPr>
          <w:rFonts w:cstheme="minorHAnsi"/>
        </w:rPr>
        <w:t> </w:t>
      </w:r>
      <w:r w:rsidRPr="000314BF">
        <w:rPr>
          <w:rFonts w:cstheme="minorHAnsi"/>
        </w:rPr>
        <w:t>využívání špičkových technologií jako zdroje konkurenceschopnosti ČR a</w:t>
      </w:r>
      <w:r w:rsidR="00B8191B">
        <w:rPr>
          <w:rFonts w:cstheme="minorHAnsi"/>
        </w:rPr>
        <w:t> </w:t>
      </w:r>
      <w:r w:rsidRPr="000314BF">
        <w:rPr>
          <w:rFonts w:cstheme="minorHAnsi"/>
        </w:rPr>
        <w:t>zvyšování jeji</w:t>
      </w:r>
      <w:r w:rsidRPr="000314BF">
        <w:rPr>
          <w:rFonts w:cstheme="minorHAnsi"/>
        </w:rPr>
        <w:t>ch přínosů pro dlouhodobý hospodářský růst, pro tvorbu kvalitních pracovních míst a pro rozvoj kvality života na území ČR.</w:t>
      </w:r>
    </w:p>
    <w:p w:rsidR="00D00F0D" w:rsidRPr="000314BF" w:rsidRDefault="008C12E6" w:rsidP="00D00F0D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rPr>
          <w:rFonts w:cstheme="minorHAnsi"/>
          <w:b/>
          <w:u w:val="single"/>
        </w:rPr>
      </w:pPr>
      <w:r w:rsidRPr="000314BF">
        <w:rPr>
          <w:rFonts w:cstheme="minorHAnsi"/>
          <w:b/>
          <w:u w:val="single"/>
        </w:rPr>
        <w:t>Národní politika výzkumu, vývoje a inovací na léta 2016–2020</w:t>
      </w:r>
    </w:p>
    <w:p w:rsidR="00D00F0D" w:rsidRPr="000314BF" w:rsidRDefault="008C12E6" w:rsidP="00C717F0">
      <w:pPr>
        <w:spacing w:after="3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Usnesením vlády České republiky č. 135 ze dne 17. února 2016 byla schvál</w:t>
      </w:r>
      <w:r w:rsidRPr="000314BF">
        <w:rPr>
          <w:rFonts w:cstheme="minorHAnsi"/>
        </w:rPr>
        <w:t>ena Národní politika výzkumu, vývoje a inovací na léta 2016–2020. Dokument určuje klíčové obory a výzkumná témata, na něž by se měl aplikovaný výzkum zaměřit. Základním cílem Národní politiky výzkumu, vývoje a inovací České republiky je proto zajistit rozv</w:t>
      </w:r>
      <w:r w:rsidRPr="000314BF">
        <w:rPr>
          <w:rFonts w:cstheme="minorHAnsi"/>
        </w:rPr>
        <w:t>oj všech složek výzkumu a vývoje v Č</w:t>
      </w:r>
      <w:r w:rsidR="006E5C61" w:rsidRPr="000314BF">
        <w:rPr>
          <w:rFonts w:cstheme="minorHAnsi"/>
        </w:rPr>
        <w:t>R</w:t>
      </w:r>
      <w:r w:rsidRPr="000314BF">
        <w:rPr>
          <w:rFonts w:cstheme="minorHAnsi"/>
        </w:rPr>
        <w:t xml:space="preserve"> – základního výzkumu, aplikovaného výzkumu a vývoje, které mají každá svou nezastupitelnou roli a využít jejich provázanosti a synergií </w:t>
      </w:r>
      <w:r w:rsidRPr="000314BF">
        <w:rPr>
          <w:rFonts w:cstheme="minorHAnsi"/>
        </w:rPr>
        <w:lastRenderedPageBreak/>
        <w:t>k</w:t>
      </w:r>
      <w:r w:rsidR="006E5C61" w:rsidRPr="000314BF">
        <w:rPr>
          <w:rFonts w:cstheme="minorHAnsi"/>
        </w:rPr>
        <w:t> </w:t>
      </w:r>
      <w:r w:rsidRPr="000314BF">
        <w:rPr>
          <w:rFonts w:cstheme="minorHAnsi"/>
        </w:rPr>
        <w:t xml:space="preserve">podpoře ekonomického, kulturního a sociálního rozvoje České republiky. Dokument </w:t>
      </w:r>
      <w:r w:rsidRPr="000314BF">
        <w:rPr>
          <w:rFonts w:cstheme="minorHAnsi"/>
        </w:rPr>
        <w:t>stanovuje strategické a specifické cíle a opatření k jejich realizaci.</w:t>
      </w:r>
    </w:p>
    <w:p w:rsidR="00D00F0D" w:rsidRPr="000314BF" w:rsidRDefault="008C12E6" w:rsidP="00D00F0D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t xml:space="preserve">Inovační strategie České republiky 2019–2030 </w:t>
      </w:r>
    </w:p>
    <w:p w:rsidR="00D00F0D" w:rsidRPr="000314BF" w:rsidRDefault="008C12E6" w:rsidP="00D00F0D">
      <w:pPr>
        <w:spacing w:after="120" w:line="276" w:lineRule="auto"/>
        <w:ind w:left="709"/>
        <w:rPr>
          <w:rFonts w:cstheme="minorHAnsi"/>
          <w:bCs/>
        </w:rPr>
      </w:pPr>
      <w:r w:rsidRPr="000314BF">
        <w:rPr>
          <w:rFonts w:cstheme="minorHAnsi"/>
        </w:rPr>
        <w:t>Strategický rámcový plán, který předurčuje vládní politiku v oblasti výzkumu, vývoje a</w:t>
      </w:r>
      <w:r w:rsidR="00611D09" w:rsidRPr="000314BF">
        <w:rPr>
          <w:rFonts w:cstheme="minorHAnsi"/>
        </w:rPr>
        <w:t> </w:t>
      </w:r>
      <w:r w:rsidRPr="000314BF">
        <w:rPr>
          <w:rFonts w:cstheme="minorHAnsi"/>
        </w:rPr>
        <w:t>inovací na období let 2019 až 2030 a z</w:t>
      </w:r>
      <w:r w:rsidRPr="000314BF">
        <w:rPr>
          <w:rFonts w:cstheme="minorHAnsi"/>
          <w:bCs/>
        </w:rPr>
        <w:t>ahrnuje oblast</w:t>
      </w:r>
      <w:r w:rsidRPr="000314BF">
        <w:rPr>
          <w:rFonts w:cstheme="minorHAnsi"/>
          <w:bCs/>
        </w:rPr>
        <w:t>i: financování a hodnocení výzkumu a vývoje, inovační a výzkumná centra, národní start-up a spin-</w:t>
      </w:r>
      <w:proofErr w:type="spellStart"/>
      <w:r w:rsidRPr="000314BF">
        <w:rPr>
          <w:rFonts w:cstheme="minorHAnsi"/>
          <w:bCs/>
        </w:rPr>
        <w:t>off</w:t>
      </w:r>
      <w:proofErr w:type="spellEnd"/>
      <w:r w:rsidRPr="000314BF">
        <w:rPr>
          <w:rFonts w:cstheme="minorHAnsi"/>
          <w:bCs/>
        </w:rPr>
        <w:t xml:space="preserve"> prostředí, polytechnické vzdělávání, digitalizace, mobilita a stavební prostředí, ochrana duševního vlastnictví, chytré investice a chytrý marketing.</w:t>
      </w:r>
    </w:p>
    <w:p w:rsidR="00D00F0D" w:rsidRPr="000314BF" w:rsidRDefault="008C12E6" w:rsidP="00444F56">
      <w:pPr>
        <w:spacing w:after="360" w:line="276" w:lineRule="auto"/>
        <w:ind w:left="709"/>
        <w:rPr>
          <w:rStyle w:val="Siln"/>
          <w:rFonts w:cstheme="minorHAnsi"/>
          <w:b w:val="0"/>
          <w:i/>
        </w:rPr>
      </w:pPr>
      <w:r w:rsidRPr="000314BF">
        <w:rPr>
          <w:rFonts w:cstheme="minorHAnsi"/>
          <w:bCs/>
        </w:rPr>
        <w:t xml:space="preserve">Inovační strategii </w:t>
      </w:r>
      <w:r w:rsidRPr="000314BF">
        <w:rPr>
          <w:rFonts w:cstheme="minorHAnsi"/>
        </w:rPr>
        <w:t xml:space="preserve">České republiky 2019–2030 </w:t>
      </w:r>
      <w:r w:rsidRPr="000314BF">
        <w:rPr>
          <w:rFonts w:cstheme="minorHAnsi"/>
          <w:bCs/>
        </w:rPr>
        <w:t xml:space="preserve">zpracovala vládní Rada pro výzkum, vývoj a inovace v úzké spolupráci s týmem z řad podnikatelů, vědců, akademiků a zástupců veřejné správy. MŽP je jejím spoluautorem. </w:t>
      </w:r>
      <w:r w:rsidRPr="000314BF">
        <w:rPr>
          <w:rFonts w:cstheme="minorHAnsi"/>
        </w:rPr>
        <w:t>Má pomoci České republice posunout se mezi n</w:t>
      </w:r>
      <w:r w:rsidRPr="000314BF">
        <w:rPr>
          <w:rFonts w:cstheme="minorHAnsi"/>
        </w:rPr>
        <w:t xml:space="preserve">ejinovativnější země Evropy. </w:t>
      </w:r>
      <w:r w:rsidRPr="000314BF">
        <w:rPr>
          <w:rStyle w:val="Siln"/>
          <w:rFonts w:cstheme="minorHAnsi"/>
          <w:b w:val="0"/>
        </w:rPr>
        <w:t xml:space="preserve">Součástí Inovační strategie je zavedení nové značky </w:t>
      </w:r>
      <w:proofErr w:type="spellStart"/>
      <w:r w:rsidRPr="000314BF">
        <w:rPr>
          <w:rStyle w:val="Siln"/>
          <w:rFonts w:cstheme="minorHAnsi"/>
          <w:b w:val="0"/>
          <w:i/>
        </w:rPr>
        <w:t>The</w:t>
      </w:r>
      <w:proofErr w:type="spellEnd"/>
      <w:r w:rsidRPr="000314BF">
        <w:rPr>
          <w:rStyle w:val="Siln"/>
          <w:rFonts w:cstheme="minorHAnsi"/>
          <w:b w:val="0"/>
          <w:i/>
        </w:rPr>
        <w:t xml:space="preserve"> Czech Republic: </w:t>
      </w:r>
      <w:proofErr w:type="spellStart"/>
      <w:r w:rsidRPr="000314BF">
        <w:rPr>
          <w:rStyle w:val="Siln"/>
          <w:rFonts w:cstheme="minorHAnsi"/>
          <w:b w:val="0"/>
          <w:i/>
        </w:rPr>
        <w:t>The</w:t>
      </w:r>
      <w:proofErr w:type="spellEnd"/>
      <w:r w:rsidRPr="000314BF">
        <w:rPr>
          <w:rStyle w:val="Siln"/>
          <w:rFonts w:cstheme="minorHAnsi"/>
          <w:b w:val="0"/>
          <w:i/>
        </w:rPr>
        <w:t xml:space="preserve"> Country </w:t>
      </w:r>
      <w:proofErr w:type="spellStart"/>
      <w:r w:rsidRPr="000314BF">
        <w:rPr>
          <w:rStyle w:val="Siln"/>
          <w:rFonts w:cstheme="minorHAnsi"/>
          <w:b w:val="0"/>
          <w:i/>
        </w:rPr>
        <w:t>For</w:t>
      </w:r>
      <w:proofErr w:type="spellEnd"/>
      <w:r w:rsidRPr="000314BF">
        <w:rPr>
          <w:rStyle w:val="Siln"/>
          <w:rFonts w:cstheme="minorHAnsi"/>
          <w:b w:val="0"/>
          <w:i/>
        </w:rPr>
        <w:t xml:space="preserve"> </w:t>
      </w:r>
      <w:proofErr w:type="spellStart"/>
      <w:r w:rsidRPr="000314BF">
        <w:rPr>
          <w:rStyle w:val="Siln"/>
          <w:rFonts w:cstheme="minorHAnsi"/>
          <w:b w:val="0"/>
          <w:i/>
        </w:rPr>
        <w:t>The</w:t>
      </w:r>
      <w:proofErr w:type="spellEnd"/>
      <w:r w:rsidRPr="000314BF">
        <w:rPr>
          <w:rStyle w:val="Siln"/>
          <w:rFonts w:cstheme="minorHAnsi"/>
          <w:b w:val="0"/>
          <w:i/>
        </w:rPr>
        <w:t xml:space="preserve"> </w:t>
      </w:r>
      <w:proofErr w:type="spellStart"/>
      <w:r w:rsidRPr="000314BF">
        <w:rPr>
          <w:rStyle w:val="Siln"/>
          <w:rFonts w:cstheme="minorHAnsi"/>
          <w:b w:val="0"/>
          <w:i/>
        </w:rPr>
        <w:t>Future</w:t>
      </w:r>
      <w:proofErr w:type="spellEnd"/>
      <w:r w:rsidRPr="000314BF">
        <w:rPr>
          <w:rStyle w:val="Siln"/>
          <w:rFonts w:cstheme="minorHAnsi"/>
          <w:b w:val="0"/>
          <w:i/>
        </w:rPr>
        <w:t>.</w:t>
      </w:r>
    </w:p>
    <w:p w:rsidR="00444F56" w:rsidRPr="000314BF" w:rsidRDefault="008C12E6" w:rsidP="00444F56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t xml:space="preserve">Koncepce </w:t>
      </w:r>
      <w:proofErr w:type="spellStart"/>
      <w:r w:rsidRPr="000314BF">
        <w:rPr>
          <w:rFonts w:cstheme="minorHAnsi"/>
          <w:b/>
          <w:bCs/>
          <w:u w:val="single"/>
        </w:rPr>
        <w:t>SmartCities</w:t>
      </w:r>
      <w:proofErr w:type="spellEnd"/>
      <w:r w:rsidRPr="000314BF">
        <w:rPr>
          <w:rFonts w:cstheme="minorHAnsi"/>
          <w:b/>
          <w:bCs/>
          <w:u w:val="single"/>
        </w:rPr>
        <w:t xml:space="preserve"> </w:t>
      </w:r>
    </w:p>
    <w:p w:rsidR="00444F56" w:rsidRPr="000314BF" w:rsidRDefault="008C12E6" w:rsidP="00444F56">
      <w:pPr>
        <w:spacing w:after="120" w:line="276" w:lineRule="auto"/>
        <w:ind w:left="709"/>
        <w:rPr>
          <w:rFonts w:cstheme="minorHAnsi"/>
          <w:bCs/>
        </w:rPr>
      </w:pPr>
      <w:r w:rsidRPr="000314BF">
        <w:rPr>
          <w:rFonts w:cstheme="minorHAnsi"/>
          <w:bCs/>
        </w:rPr>
        <w:t xml:space="preserve">V roce 2020 probíhaly práce na </w:t>
      </w:r>
      <w:r w:rsidR="004E0877" w:rsidRPr="000314BF">
        <w:rPr>
          <w:rFonts w:cstheme="minorHAnsi"/>
          <w:bCs/>
        </w:rPr>
        <w:t>přípravě k</w:t>
      </w:r>
      <w:r w:rsidRPr="000314BF">
        <w:rPr>
          <w:rFonts w:cstheme="minorHAnsi"/>
          <w:bCs/>
        </w:rPr>
        <w:t>oncepc</w:t>
      </w:r>
      <w:r w:rsidR="004E0877" w:rsidRPr="000314BF">
        <w:rPr>
          <w:rFonts w:cstheme="minorHAnsi"/>
          <w:bCs/>
        </w:rPr>
        <w:t>e</w:t>
      </w:r>
      <w:r w:rsidRPr="000314BF">
        <w:rPr>
          <w:rFonts w:cstheme="minorHAnsi"/>
          <w:bCs/>
        </w:rPr>
        <w:t xml:space="preserve"> </w:t>
      </w:r>
      <w:r w:rsidR="004E0877" w:rsidRPr="000314BF">
        <w:rPr>
          <w:rFonts w:cstheme="minorHAnsi"/>
          <w:bCs/>
        </w:rPr>
        <w:t>„</w:t>
      </w:r>
      <w:r w:rsidRPr="000314BF">
        <w:rPr>
          <w:rFonts w:cstheme="minorHAnsi"/>
          <w:bCs/>
          <w:i/>
        </w:rPr>
        <w:t xml:space="preserve">Smart </w:t>
      </w:r>
      <w:proofErr w:type="spellStart"/>
      <w:r w:rsidRPr="000314BF">
        <w:rPr>
          <w:rFonts w:cstheme="minorHAnsi"/>
          <w:bCs/>
          <w:i/>
        </w:rPr>
        <w:t>Cities</w:t>
      </w:r>
      <w:proofErr w:type="spellEnd"/>
      <w:r w:rsidRPr="000314BF">
        <w:rPr>
          <w:rFonts w:cstheme="minorHAnsi"/>
          <w:bCs/>
          <w:i/>
        </w:rPr>
        <w:t xml:space="preserve"> – odolnost prostřednictvím SMART řešení pr</w:t>
      </w:r>
      <w:r w:rsidRPr="000314BF">
        <w:rPr>
          <w:rFonts w:cstheme="minorHAnsi"/>
          <w:bCs/>
          <w:i/>
        </w:rPr>
        <w:t>o obce, města a regiony</w:t>
      </w:r>
      <w:r w:rsidR="004E0877" w:rsidRPr="000314BF">
        <w:rPr>
          <w:rFonts w:cstheme="minorHAnsi"/>
          <w:bCs/>
          <w:i/>
        </w:rPr>
        <w:t xml:space="preserve">“. </w:t>
      </w:r>
      <w:r w:rsidRPr="000314BF">
        <w:rPr>
          <w:rFonts w:cstheme="minorHAnsi"/>
          <w:bCs/>
        </w:rPr>
        <w:t>Koncepce představuje nový přístup ke zlepšení života obyvatel prostřednictvím chytřejšího způsobu řízení měst, obcí, regionů a života v nich prostřednictvím zavádění moderních technologií. Nejširší uplatnění konceptu se předpoklád</w:t>
      </w:r>
      <w:r w:rsidRPr="000314BF">
        <w:rPr>
          <w:rFonts w:cstheme="minorHAnsi"/>
          <w:bCs/>
        </w:rPr>
        <w:t>á v oblasti dopravy, energetiky a zavádění moderních informačních a komunikačních technologií. Uplatňovat se bude i v dalších oblastech, např. odpadové hospodářství, vodohospodářství, e-</w:t>
      </w:r>
      <w:proofErr w:type="spellStart"/>
      <w:r w:rsidRPr="000314BF">
        <w:rPr>
          <w:rFonts w:cstheme="minorHAnsi"/>
          <w:bCs/>
        </w:rPr>
        <w:t>government</w:t>
      </w:r>
      <w:proofErr w:type="spellEnd"/>
      <w:r w:rsidRPr="000314BF">
        <w:rPr>
          <w:rFonts w:cstheme="minorHAnsi"/>
          <w:bCs/>
        </w:rPr>
        <w:t xml:space="preserve"> a krizové řízení.</w:t>
      </w:r>
      <w:bookmarkStart w:id="30" w:name="_Toc62474260"/>
    </w:p>
    <w:p w:rsidR="00444F56" w:rsidRPr="000314BF" w:rsidRDefault="008C12E6" w:rsidP="004E0877">
      <w:pPr>
        <w:spacing w:after="360" w:line="276" w:lineRule="auto"/>
        <w:ind w:left="709"/>
        <w:rPr>
          <w:sz w:val="22"/>
        </w:rPr>
      </w:pPr>
      <w:r w:rsidRPr="000314BF">
        <w:rPr>
          <w:rFonts w:cstheme="minorHAnsi"/>
          <w:bCs/>
        </w:rPr>
        <w:t>Předcházení vzniku odpadů je zohledněno v</w:t>
      </w:r>
      <w:r w:rsidRPr="000314BF">
        <w:rPr>
          <w:rFonts w:cstheme="minorHAnsi"/>
          <w:bCs/>
        </w:rPr>
        <w:t> </w:t>
      </w:r>
      <w:bookmarkStart w:id="31" w:name="_Toc62474257"/>
      <w:r w:rsidRPr="000314BF">
        <w:rPr>
          <w:rFonts w:cstheme="minorHAnsi"/>
          <w:bCs/>
        </w:rPr>
        <w:t>části koncepce, která se věnuje l</w:t>
      </w:r>
      <w:r w:rsidRPr="000314BF">
        <w:rPr>
          <w:rFonts w:eastAsia="Calibri"/>
        </w:rPr>
        <w:t>okální ekonomice (Konkurenceschopná města, obce a regiony)</w:t>
      </w:r>
      <w:bookmarkEnd w:id="31"/>
      <w:r w:rsidR="004E0877" w:rsidRPr="000314BF">
        <w:rPr>
          <w:rFonts w:eastAsia="Calibri"/>
        </w:rPr>
        <w:t xml:space="preserve">. </w:t>
      </w:r>
      <w:bookmarkEnd w:id="30"/>
    </w:p>
    <w:p w:rsidR="00444F56" w:rsidRPr="000314BF" w:rsidRDefault="008C12E6" w:rsidP="00444F56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szCs w:val="24"/>
          <w:u w:val="single"/>
        </w:rPr>
      </w:pPr>
      <w:r w:rsidRPr="000314BF">
        <w:rPr>
          <w:rFonts w:cstheme="minorHAnsi"/>
          <w:b/>
          <w:szCs w:val="24"/>
          <w:u w:val="single"/>
        </w:rPr>
        <w:t>Programy Technologické agentury České republiky (TA ČR)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MŽP úzce spolupracuje s Technologickou agenturou České republiky (TA ČR). V rámci Programů vyhlášených TAČR bylo podpořeno řešení mnoha projektů v oblasti odpadového hospodářství, předcházení vzniků odpadů a oběhového hospodářství. </w:t>
      </w:r>
    </w:p>
    <w:p w:rsidR="00D925E3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Z </w:t>
      </w:r>
      <w:r w:rsidRPr="000314BF">
        <w:rPr>
          <w:rFonts w:cstheme="minorHAnsi"/>
          <w:b/>
        </w:rPr>
        <w:t>Programu</w:t>
      </w:r>
      <w:r w:rsidRPr="000314BF">
        <w:rPr>
          <w:rFonts w:cstheme="minorHAnsi"/>
        </w:rPr>
        <w:t xml:space="preserve"> na podporu aplikovaného společenskovědního a humanitního výzkumu, experimentálního vývoje a inovací </w:t>
      </w:r>
      <w:r w:rsidRPr="000314BF">
        <w:rPr>
          <w:rFonts w:cstheme="minorHAnsi"/>
          <w:b/>
        </w:rPr>
        <w:t>ÉTA</w:t>
      </w:r>
      <w:r w:rsidRPr="000314BF">
        <w:rPr>
          <w:rFonts w:cstheme="minorHAnsi"/>
        </w:rPr>
        <w:t xml:space="preserve">, byl s finanční podporou Technologické agentury ČR řešen: 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Projekt TL01000071 </w:t>
      </w:r>
      <w:r w:rsidRPr="000314BF">
        <w:rPr>
          <w:rFonts w:cstheme="minorHAnsi"/>
          <w:b/>
          <w:i/>
        </w:rPr>
        <w:t xml:space="preserve">„Redukce plýtvání potravinami ve veřejném stravování“. </w:t>
      </w:r>
      <w:r w:rsidR="00D925E3" w:rsidRPr="000314BF">
        <w:rPr>
          <w:rFonts w:cstheme="minorHAnsi"/>
          <w:b/>
          <w:i/>
        </w:rPr>
        <w:t xml:space="preserve"> </w:t>
      </w:r>
      <w:r w:rsidRPr="000314BF">
        <w:rPr>
          <w:rFonts w:cstheme="minorHAnsi"/>
        </w:rPr>
        <w:t>Projekt byl reali</w:t>
      </w:r>
      <w:r w:rsidRPr="000314BF">
        <w:rPr>
          <w:rFonts w:cstheme="minorHAnsi"/>
        </w:rPr>
        <w:t xml:space="preserve">zován </w:t>
      </w:r>
      <w:r w:rsidRPr="000314BF">
        <w:rPr>
          <w:rFonts w:cstheme="minorHAnsi"/>
          <w:i/>
          <w:iCs/>
        </w:rPr>
        <w:t xml:space="preserve">v </w:t>
      </w:r>
      <w:r w:rsidRPr="000314BF">
        <w:rPr>
          <w:rFonts w:cstheme="minorHAnsi"/>
          <w:iCs/>
        </w:rPr>
        <w:t>letech 2018–2020</w:t>
      </w:r>
      <w:r w:rsidRPr="000314BF">
        <w:rPr>
          <w:rFonts w:cstheme="minorHAnsi"/>
        </w:rPr>
        <w:t xml:space="preserve"> se státní podporou </w:t>
      </w:r>
      <w:r w:rsidRPr="000314BF">
        <w:rPr>
          <w:rFonts w:cstheme="minorHAnsi"/>
          <w:iCs/>
        </w:rPr>
        <w:t>4 209 tis. Kč.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lastRenderedPageBreak/>
        <w:t xml:space="preserve">Hlavním cílem projektu bylo poskytnout kvalifikované podklady pro zavedení opatření na redukci potravinového odpadu v oblasti veřejného stravování. Dílčí cíle </w:t>
      </w:r>
      <w:r w:rsidR="00D925E3" w:rsidRPr="000314BF">
        <w:rPr>
          <w:rFonts w:cstheme="minorHAnsi"/>
        </w:rPr>
        <w:t>jsou n</w:t>
      </w:r>
      <w:r w:rsidRPr="000314BF">
        <w:rPr>
          <w:rFonts w:cstheme="minorHAnsi"/>
        </w:rPr>
        <w:t>astaveny ve třech oblastech: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 1.</w:t>
      </w:r>
      <w:r w:rsidRPr="000314BF">
        <w:rPr>
          <w:rFonts w:cstheme="minorHAnsi"/>
        </w:rPr>
        <w:t xml:space="preserve"> Kvantifikovat potravinový odpad (ztráty) v oblasti veřejného stravovaní (vybrané řetězce jídelen a rychlého občerstvení) a provést odhad množství odpadu a ztrát v</w:t>
      </w:r>
      <w:r w:rsidR="00D925E3" w:rsidRPr="000314BF">
        <w:rPr>
          <w:rFonts w:cstheme="minorHAnsi"/>
        </w:rPr>
        <w:t> </w:t>
      </w:r>
      <w:r w:rsidRPr="000314BF">
        <w:rPr>
          <w:rFonts w:cstheme="minorHAnsi"/>
        </w:rPr>
        <w:t>celém segmentu za ČR.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 2. Identifikovat příčiny potravinových ztrát na straně provozovatelů </w:t>
      </w:r>
      <w:r w:rsidRPr="000314BF">
        <w:rPr>
          <w:rFonts w:cstheme="minorHAnsi"/>
        </w:rPr>
        <w:t xml:space="preserve">a na straně spotřebitelů (zákazníků) ve vybraných provozovnách. Odvodit z nich obecné faktory, které způsobují potravinové ztráty v jídelnách a rychlém občerstvení. 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>3. Navrhnout opatření pro redukci potravinového odpadu/ztrát v segmentu veřejného stravová</w:t>
      </w:r>
      <w:r w:rsidRPr="000314BF">
        <w:rPr>
          <w:rFonts w:cstheme="minorHAnsi"/>
        </w:rPr>
        <w:t xml:space="preserve">ní pro praxi, podpůrné (nevládní) organizace a statní správu. 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Výzkumný projekt </w:t>
      </w:r>
      <w:r w:rsidRPr="000314BF">
        <w:rPr>
          <w:rFonts w:cstheme="minorHAnsi"/>
          <w:b/>
          <w:i/>
        </w:rPr>
        <w:t xml:space="preserve">Redukce plýtvání potravinami ve veřejném stravování </w:t>
      </w:r>
      <w:proofErr w:type="spellStart"/>
      <w:r w:rsidRPr="000314BF">
        <w:rPr>
          <w:rFonts w:cstheme="minorHAnsi"/>
          <w:b/>
          <w:i/>
        </w:rPr>
        <w:t>RedPot</w:t>
      </w:r>
      <w:proofErr w:type="spellEnd"/>
      <w:r w:rsidRPr="000314BF">
        <w:rPr>
          <w:rFonts w:cstheme="minorHAnsi"/>
        </w:rPr>
        <w:t>, se zaměřil zejména na restaurace s rychlou obsluhou, na jídelny, menzy, kantýny a</w:t>
      </w:r>
      <w:r w:rsidR="000E70E8" w:rsidRPr="000314BF">
        <w:rPr>
          <w:rFonts w:cstheme="minorHAnsi"/>
        </w:rPr>
        <w:t> </w:t>
      </w:r>
      <w:r w:rsidRPr="000314BF">
        <w:rPr>
          <w:rFonts w:cstheme="minorHAnsi"/>
        </w:rPr>
        <w:t>tzv.</w:t>
      </w:r>
      <w:r w:rsidR="000E70E8" w:rsidRPr="000314BF">
        <w:rPr>
          <w:rFonts w:cstheme="minorHAnsi"/>
        </w:rPr>
        <w:t> </w:t>
      </w:r>
      <w:r w:rsidRPr="000314BF">
        <w:rPr>
          <w:rFonts w:cstheme="minorHAnsi"/>
        </w:rPr>
        <w:t>fast foody. Po úvodní fázi pr</w:t>
      </w:r>
      <w:r w:rsidRPr="000314BF">
        <w:rPr>
          <w:rFonts w:cstheme="minorHAnsi"/>
        </w:rPr>
        <w:t>ojektu, která se věnovala měření, proběhla diskuze se zapojenými řetězci o příčinách vzniku potravinového odpadu a ztrát a konkrétních možnostech, jak plýtvání potravinami redukovat. Uskutečnily se workshopy s dalšími klíčovými aktéry z oblasti veřejného s</w:t>
      </w:r>
      <w:r w:rsidRPr="000314BF">
        <w:rPr>
          <w:rFonts w:cstheme="minorHAnsi"/>
        </w:rPr>
        <w:t xml:space="preserve">travování, státní správy, hygieny apod. Z těchto setkání vznikla konkrétní doporučení, která jsou shrnuta v příručce „Jak šetřit jídlem“. 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  <w:b/>
        </w:rPr>
        <w:t>Příručka</w:t>
      </w:r>
      <w:r w:rsidRPr="000314BF">
        <w:rPr>
          <w:rFonts w:cstheme="minorHAnsi"/>
        </w:rPr>
        <w:t xml:space="preserve"> je nyní ke stažení na </w:t>
      </w:r>
      <w:hyperlink r:id="rId42" w:history="1">
        <w:r w:rsidRPr="000314BF">
          <w:rPr>
            <w:rStyle w:val="Hypertextovodkaz"/>
            <w:rFonts w:cstheme="minorHAnsi"/>
          </w:rPr>
          <w:t>https://zachranjidlo.cz/redpot/</w:t>
        </w:r>
      </w:hyperlink>
      <w:r w:rsidRPr="000314BF">
        <w:rPr>
          <w:rFonts w:cstheme="minorHAnsi"/>
        </w:rPr>
        <w:t>.</w:t>
      </w:r>
    </w:p>
    <w:p w:rsidR="00444F56" w:rsidRPr="000314BF" w:rsidRDefault="008C12E6" w:rsidP="00444F56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>S fin</w:t>
      </w:r>
      <w:r w:rsidRPr="000314BF">
        <w:rPr>
          <w:rFonts w:cstheme="minorHAnsi"/>
        </w:rPr>
        <w:t xml:space="preserve">anční podporou Technologické agentury ČR byl z </w:t>
      </w:r>
      <w:r w:rsidRPr="000314BF">
        <w:rPr>
          <w:rFonts w:cstheme="minorHAnsi"/>
          <w:b/>
        </w:rPr>
        <w:t>Programu</w:t>
      </w:r>
      <w:r w:rsidRPr="000314BF">
        <w:rPr>
          <w:rFonts w:cstheme="minorHAnsi"/>
        </w:rPr>
        <w:t xml:space="preserve"> na podporu aplikovaného společenskovědního a humanitního výzkumu, experimentálního vývoje a inovací </w:t>
      </w:r>
      <w:r w:rsidRPr="000314BF">
        <w:rPr>
          <w:rFonts w:cstheme="minorHAnsi"/>
          <w:b/>
        </w:rPr>
        <w:t>ÉTA</w:t>
      </w:r>
      <w:r w:rsidRPr="000314BF">
        <w:rPr>
          <w:rFonts w:cstheme="minorHAnsi"/>
        </w:rPr>
        <w:t xml:space="preserve">, řešen také Projekt TL02000092 s názvem </w:t>
      </w:r>
      <w:r w:rsidR="00D925E3" w:rsidRPr="000314BF">
        <w:rPr>
          <w:rFonts w:cstheme="minorHAnsi"/>
        </w:rPr>
        <w:t>„</w:t>
      </w:r>
      <w:r w:rsidRPr="000314BF">
        <w:rPr>
          <w:rFonts w:cstheme="minorHAnsi"/>
          <w:b/>
          <w:i/>
        </w:rPr>
        <w:t>Podpora pro environmentálních vzorců chování a </w:t>
      </w:r>
      <w:proofErr w:type="spellStart"/>
      <w:r w:rsidRPr="000314BF">
        <w:rPr>
          <w:rFonts w:cstheme="minorHAnsi"/>
          <w:b/>
          <w:i/>
        </w:rPr>
        <w:t>incentiv</w:t>
      </w:r>
      <w:r w:rsidRPr="000314BF">
        <w:rPr>
          <w:rFonts w:cstheme="minorHAnsi"/>
          <w:b/>
          <w:i/>
        </w:rPr>
        <w:t>y</w:t>
      </w:r>
      <w:proofErr w:type="spellEnd"/>
      <w:r w:rsidRPr="000314BF">
        <w:rPr>
          <w:rFonts w:cstheme="minorHAnsi"/>
          <w:b/>
          <w:i/>
        </w:rPr>
        <w:t xml:space="preserve"> pro behaviorální změnu v produkci potravinových odpadů a plýtvání</w:t>
      </w:r>
      <w:r w:rsidR="00D925E3" w:rsidRPr="000314BF">
        <w:rPr>
          <w:rFonts w:cstheme="minorHAnsi"/>
          <w:b/>
          <w:i/>
        </w:rPr>
        <w:t>“</w:t>
      </w:r>
      <w:r w:rsidRPr="000314BF">
        <w:rPr>
          <w:rFonts w:cstheme="minorHAnsi"/>
          <w:b/>
        </w:rPr>
        <w:t>.</w:t>
      </w:r>
      <w:r w:rsidRPr="000314BF">
        <w:rPr>
          <w:rFonts w:cstheme="minorHAnsi"/>
        </w:rPr>
        <w:t xml:space="preserve"> Cílem projektu, který probíhá v období červen 2019 až červen 2022, je poskytnout aplikačním garantům a územním samosprávným celkům postupy a výsledky aplikace behaviorální změny chování </w:t>
      </w:r>
      <w:r w:rsidRPr="000314BF">
        <w:rPr>
          <w:rFonts w:cstheme="minorHAnsi"/>
        </w:rPr>
        <w:t>domácností, a to v</w:t>
      </w:r>
      <w:r w:rsidR="00D925E3" w:rsidRPr="000314BF">
        <w:rPr>
          <w:rFonts w:cstheme="minorHAnsi"/>
        </w:rPr>
        <w:t> </w:t>
      </w:r>
      <w:r w:rsidRPr="000314BF">
        <w:rPr>
          <w:rFonts w:cstheme="minorHAnsi"/>
        </w:rPr>
        <w:t xml:space="preserve">podobě, která bude snadno aplikovatelná pro aktéry v oblasti odpadového hospodářství (tj. územní samosprávné celky). Hlavním řešitelem je Mendelova univerzita v Brně a dalšími partnery projektu jsou Green </w:t>
      </w:r>
      <w:proofErr w:type="spellStart"/>
      <w:r w:rsidRPr="000314BF">
        <w:rPr>
          <w:rFonts w:cstheme="minorHAnsi"/>
        </w:rPr>
        <w:t>Solution</w:t>
      </w:r>
      <w:proofErr w:type="spellEnd"/>
      <w:r w:rsidRPr="000314BF">
        <w:rPr>
          <w:rFonts w:cstheme="minorHAnsi"/>
        </w:rPr>
        <w:t xml:space="preserve"> a SAKO Brno. Snahou je </w:t>
      </w:r>
      <w:r w:rsidRPr="000314BF">
        <w:rPr>
          <w:rFonts w:cstheme="minorHAnsi"/>
        </w:rPr>
        <w:t>najít efektivnější způsoby dosažení cíle redukce plýtvání potravinami, a to na základě provedení cílené behaviorální intervence, jejímž smyslem je dosáhnout změny v</w:t>
      </w:r>
      <w:r w:rsidR="00D925E3" w:rsidRPr="000314BF">
        <w:rPr>
          <w:rFonts w:cstheme="minorHAnsi"/>
        </w:rPr>
        <w:t> </w:t>
      </w:r>
      <w:r w:rsidRPr="000314BF">
        <w:rPr>
          <w:rFonts w:cstheme="minorHAnsi"/>
        </w:rPr>
        <w:t>chování domácností, která povede ke snížení plýtvání potravinami.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</w:rPr>
      </w:pPr>
      <w:r w:rsidRPr="000314BF">
        <w:rPr>
          <w:rFonts w:cstheme="minorHAnsi"/>
          <w:b/>
        </w:rPr>
        <w:t>Program „Prostředí pro ži</w:t>
      </w:r>
      <w:r w:rsidRPr="000314BF">
        <w:rPr>
          <w:rFonts w:cstheme="minorHAnsi"/>
          <w:b/>
        </w:rPr>
        <w:t xml:space="preserve">vot“, </w:t>
      </w:r>
      <w:r w:rsidRPr="000314BF">
        <w:rPr>
          <w:rFonts w:cstheme="minorHAnsi"/>
        </w:rPr>
        <w:t xml:space="preserve">jehož gestorem je MŽP byl v rámci Programu aplikovaného výzkumu, experimentálního vývoje a inovací v oblasti životního prostředí – Prostředí pro život, schválen usnesením vlády ČR č. 204 ze dne 25. března 2019. 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</w:rPr>
      </w:pPr>
      <w:r w:rsidRPr="000314BF">
        <w:rPr>
          <w:rFonts w:cstheme="minorHAnsi"/>
          <w:bCs/>
        </w:rPr>
        <w:t>Cílem programu</w:t>
      </w:r>
      <w:r w:rsidRPr="000314BF">
        <w:rPr>
          <w:rFonts w:cstheme="minorHAnsi"/>
        </w:rPr>
        <w:t xml:space="preserve"> je přinést nová řešení </w:t>
      </w:r>
      <w:r w:rsidRPr="000314BF">
        <w:rPr>
          <w:rFonts w:cstheme="minorHAnsi"/>
        </w:rPr>
        <w:t>v oblasti životního prostředí, stabilizovat a</w:t>
      </w:r>
      <w:r w:rsidR="00D925E3" w:rsidRPr="000314BF">
        <w:rPr>
          <w:rFonts w:cstheme="minorHAnsi"/>
        </w:rPr>
        <w:t> </w:t>
      </w:r>
      <w:r w:rsidRPr="000314BF">
        <w:rPr>
          <w:rFonts w:cstheme="minorHAnsi"/>
        </w:rPr>
        <w:t xml:space="preserve">rozšířit znalostní základnu, která výrazně přispěje k zajištění zdravého a kvalitního </w:t>
      </w:r>
      <w:r w:rsidRPr="000314BF">
        <w:rPr>
          <w:rFonts w:cstheme="minorHAnsi"/>
        </w:rPr>
        <w:lastRenderedPageBreak/>
        <w:t>životního prostředí v Č</w:t>
      </w:r>
      <w:r w:rsidR="00D925E3" w:rsidRPr="000314BF">
        <w:rPr>
          <w:rFonts w:cstheme="minorHAnsi"/>
        </w:rPr>
        <w:t>R</w:t>
      </w:r>
      <w:r w:rsidRPr="000314BF">
        <w:rPr>
          <w:rFonts w:cstheme="minorHAnsi"/>
        </w:rPr>
        <w:t xml:space="preserve"> a k udržitelnému využívání jejích zdrojů, minimalizuje negativní dopady lidské činnosti na životní prostředí včetně dopadů přesahujících hranice státu a přispěje tak ke zlepšování kvality života v Evropě i v globálním kontextu.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  <w:bCs/>
        </w:rPr>
      </w:pPr>
      <w:r w:rsidRPr="000314BF">
        <w:rPr>
          <w:rFonts w:cstheme="minorHAnsi"/>
          <w:bCs/>
        </w:rPr>
        <w:t>K prioritní oblastem progra</w:t>
      </w:r>
      <w:r w:rsidRPr="000314BF">
        <w:rPr>
          <w:rFonts w:cstheme="minorHAnsi"/>
          <w:bCs/>
        </w:rPr>
        <w:t>mu patří také odpadové a oběhové hospodářství. Výzkum v této oblasti je zaměřen především na prevenci a minimalizace tvorby odpadů i jejich negativního vlivu na životní prostředí a zdraví lidí.  Dále na zavádění principů oběhového hospodářství do výroby, s</w:t>
      </w:r>
      <w:r w:rsidRPr="000314BF">
        <w:rPr>
          <w:rFonts w:cstheme="minorHAnsi"/>
          <w:bCs/>
        </w:rPr>
        <w:t xml:space="preserve">potřeby a druhotných surovin a také rozvoj </w:t>
      </w:r>
      <w:r w:rsidR="00D925E3" w:rsidRPr="000314BF">
        <w:rPr>
          <w:rFonts w:cstheme="minorHAnsi"/>
          <w:bCs/>
        </w:rPr>
        <w:t>odolnosti</w:t>
      </w:r>
      <w:r w:rsidRPr="000314BF">
        <w:rPr>
          <w:rFonts w:cstheme="minorHAnsi"/>
          <w:bCs/>
        </w:rPr>
        <w:t xml:space="preserve"> a zejména technologických aspektů environmentální bezpečnosti.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  <w:bCs/>
        </w:rPr>
      </w:pPr>
      <w:r w:rsidRPr="000314BF">
        <w:rPr>
          <w:rFonts w:cstheme="minorHAnsi"/>
          <w:bCs/>
        </w:rPr>
        <w:t>Čerpání prostředků z programu je nastaveno na období sedmi let od 1. 1. 2020 do 31.</w:t>
      </w:r>
      <w:r w:rsidR="00611D09" w:rsidRPr="000314BF">
        <w:rPr>
          <w:rFonts w:cstheme="minorHAnsi"/>
          <w:bCs/>
        </w:rPr>
        <w:t> </w:t>
      </w:r>
      <w:r w:rsidRPr="000314BF">
        <w:rPr>
          <w:rFonts w:cstheme="minorHAnsi"/>
          <w:bCs/>
        </w:rPr>
        <w:t xml:space="preserve">12. 2026. </w:t>
      </w:r>
      <w:r w:rsidRPr="000314BF">
        <w:rPr>
          <w:rFonts w:cstheme="minorHAnsi"/>
        </w:rPr>
        <w:t>Celkové výdaje na program</w:t>
      </w:r>
      <w:r w:rsidRPr="000314BF">
        <w:rPr>
          <w:rFonts w:cstheme="minorHAnsi"/>
          <w:bCs/>
        </w:rPr>
        <w:t xml:space="preserve"> se předpokládají ve </w:t>
      </w:r>
      <w:r w:rsidRPr="000314BF">
        <w:rPr>
          <w:rFonts w:cstheme="minorHAnsi"/>
          <w:bCs/>
        </w:rPr>
        <w:t xml:space="preserve">výši 4,46 mld. Kč, z toho výdaje státního rozpočtu budou činit 3,8 mld. Kč. </w:t>
      </w:r>
    </w:p>
    <w:p w:rsidR="00D925E3" w:rsidRPr="000314BF" w:rsidRDefault="008C12E6" w:rsidP="00444F56">
      <w:pPr>
        <w:spacing w:before="120" w:after="120" w:line="276" w:lineRule="auto"/>
        <w:ind w:left="720"/>
        <w:rPr>
          <w:rFonts w:cstheme="minorHAnsi"/>
          <w:bCs/>
        </w:rPr>
      </w:pPr>
      <w:r w:rsidRPr="000314BF">
        <w:rPr>
          <w:rFonts w:cstheme="minorHAnsi"/>
          <w:bCs/>
        </w:rPr>
        <w:t xml:space="preserve">Poskytovatelem podpory je TAČR, jejímž prostřednictvím byly v průběhu roku 2019 a 2020 byly vyhlášeny celkem čtyři veřejné soutěže pro tři následující podprogramy: 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  <w:bCs/>
        </w:rPr>
      </w:pPr>
      <w:r w:rsidRPr="000314BF">
        <w:rPr>
          <w:rFonts w:cstheme="minorHAnsi"/>
          <w:bCs/>
        </w:rPr>
        <w:t>1</w:t>
      </w:r>
      <w:r w:rsidR="00D925E3" w:rsidRPr="000314BF">
        <w:rPr>
          <w:rFonts w:cstheme="minorHAnsi"/>
          <w:bCs/>
        </w:rPr>
        <w:t>.</w:t>
      </w:r>
      <w:r w:rsidRPr="000314BF">
        <w:rPr>
          <w:rFonts w:cstheme="minorHAnsi"/>
          <w:bCs/>
        </w:rPr>
        <w:t xml:space="preserve"> Operativní </w:t>
      </w:r>
      <w:r w:rsidRPr="000314BF">
        <w:rPr>
          <w:rFonts w:cstheme="minorHAnsi"/>
          <w:bCs/>
        </w:rPr>
        <w:t>výzkum ve veřejném zájmu, 2</w:t>
      </w:r>
      <w:r w:rsidR="00D925E3" w:rsidRPr="000314BF">
        <w:rPr>
          <w:rFonts w:cstheme="minorHAnsi"/>
          <w:bCs/>
        </w:rPr>
        <w:t>.</w:t>
      </w:r>
      <w:r w:rsidRPr="000314BF">
        <w:rPr>
          <w:rFonts w:cstheme="minorHAnsi"/>
          <w:bCs/>
        </w:rPr>
        <w:t xml:space="preserve"> </w:t>
      </w:r>
      <w:proofErr w:type="spellStart"/>
      <w:r w:rsidRPr="000314BF">
        <w:rPr>
          <w:rFonts w:cstheme="minorHAnsi"/>
          <w:bCs/>
        </w:rPr>
        <w:t>Ekoinovace</w:t>
      </w:r>
      <w:proofErr w:type="spellEnd"/>
      <w:r w:rsidRPr="000314BF">
        <w:rPr>
          <w:rFonts w:cstheme="minorHAnsi"/>
          <w:bCs/>
        </w:rPr>
        <w:t>, technologie a postupy pro ochranu životního prostředí a 3</w:t>
      </w:r>
      <w:r w:rsidR="00D925E3" w:rsidRPr="000314BF">
        <w:rPr>
          <w:rFonts w:cstheme="minorHAnsi"/>
          <w:bCs/>
        </w:rPr>
        <w:t xml:space="preserve">. </w:t>
      </w:r>
      <w:r w:rsidRPr="000314BF">
        <w:rPr>
          <w:rFonts w:cstheme="minorHAnsi"/>
          <w:bCs/>
        </w:rPr>
        <w:t>Dlouhodobé environmentální a klimatické perspektivy.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  <w:bCs/>
        </w:rPr>
      </w:pPr>
      <w:r w:rsidRPr="000314BF">
        <w:rPr>
          <w:rFonts w:cstheme="minorHAnsi"/>
          <w:bCs/>
          <w:iCs/>
        </w:rPr>
        <w:t>V rámci programu Prostředí pro život je s finanční podporou Technologické agentury ČR připravován pro o</w:t>
      </w:r>
      <w:r w:rsidRPr="000314BF">
        <w:rPr>
          <w:rFonts w:cstheme="minorHAnsi"/>
          <w:bCs/>
          <w:iCs/>
        </w:rPr>
        <w:t xml:space="preserve">bdobí </w:t>
      </w:r>
      <w:r w:rsidRPr="000314BF">
        <w:rPr>
          <w:rFonts w:cstheme="minorHAnsi"/>
          <w:b/>
        </w:rPr>
        <w:t>2021-2026</w:t>
      </w:r>
      <w:r w:rsidRPr="000314BF">
        <w:rPr>
          <w:rFonts w:cstheme="minorHAnsi"/>
          <w:bCs/>
          <w:iCs/>
        </w:rPr>
        <w:t xml:space="preserve"> projekt </w:t>
      </w:r>
      <w:r w:rsidR="00D925E3" w:rsidRPr="000314BF">
        <w:rPr>
          <w:rFonts w:cstheme="minorHAnsi"/>
          <w:bCs/>
          <w:iCs/>
        </w:rPr>
        <w:t>„</w:t>
      </w:r>
      <w:r w:rsidRPr="000314BF">
        <w:rPr>
          <w:rFonts w:cstheme="minorHAnsi"/>
          <w:b/>
        </w:rPr>
        <w:t>Centrum environmentálního výzkumu: Odpadové a oběhové hospodářství a environmentální bezpečnost</w:t>
      </w:r>
      <w:r w:rsidR="00D925E3" w:rsidRPr="000314BF">
        <w:rPr>
          <w:rFonts w:cstheme="minorHAnsi"/>
          <w:b/>
        </w:rPr>
        <w:t>“</w:t>
      </w:r>
      <w:r w:rsidRPr="000314BF">
        <w:rPr>
          <w:rFonts w:cstheme="minorHAnsi"/>
          <w:b/>
        </w:rPr>
        <w:t xml:space="preserve"> (CEVOOH)</w:t>
      </w:r>
      <w:r w:rsidRPr="000314BF">
        <w:rPr>
          <w:rFonts w:cstheme="minorHAnsi"/>
        </w:rPr>
        <w:t xml:space="preserve">. </w:t>
      </w:r>
      <w:r w:rsidRPr="000314BF">
        <w:rPr>
          <w:rFonts w:cstheme="minorHAnsi"/>
          <w:bCs/>
        </w:rPr>
        <w:t xml:space="preserve">Cílem projektu bude </w:t>
      </w:r>
      <w:r w:rsidRPr="000314BF">
        <w:rPr>
          <w:rFonts w:cstheme="minorHAnsi"/>
        </w:rPr>
        <w:t>vybudování dlouhodobě pracující, odborné, interdisciplinární, výzkumné základny tvořené klíčovými výzkum</w:t>
      </w:r>
      <w:r w:rsidRPr="000314BF">
        <w:rPr>
          <w:rFonts w:cstheme="minorHAnsi"/>
        </w:rPr>
        <w:t>nými organizacemi disponujícími expertízou a odbornou kapacitou pro provádění výzkumu v oblasti odpadového a oběhového hospodářství v širších souvislostech.</w:t>
      </w:r>
      <w:r w:rsidRPr="000314BF">
        <w:rPr>
          <w:rFonts w:cstheme="minorHAnsi"/>
          <w:bCs/>
        </w:rPr>
        <w:t xml:space="preserve"> Centrum bude poskytovat M</w:t>
      </w:r>
      <w:r w:rsidR="00D925E3" w:rsidRPr="000314BF">
        <w:rPr>
          <w:rFonts w:cstheme="minorHAnsi"/>
          <w:bCs/>
        </w:rPr>
        <w:t>ŽP</w:t>
      </w:r>
      <w:r w:rsidRPr="000314BF">
        <w:rPr>
          <w:rFonts w:cstheme="minorHAnsi"/>
          <w:bCs/>
        </w:rPr>
        <w:t>, dalším resortům, odborným platformám a dalším subjektům výsledky výzku</w:t>
      </w:r>
      <w:r w:rsidRPr="000314BF">
        <w:rPr>
          <w:rFonts w:cstheme="minorHAnsi"/>
          <w:bCs/>
        </w:rPr>
        <w:t>mu, rozšiřování vědeckých poznatků a expertní podporu při tvorbě politik, strategií a regulací.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>Hlavními tematickými oblastmi, na které se Centrum v rámci své činnosti zaměří, budou odpadové a oběhové hospodářství, monitoring a rozvoj nových monitorovacích</w:t>
      </w:r>
      <w:r w:rsidRPr="000314BF">
        <w:rPr>
          <w:rFonts w:cstheme="minorHAnsi"/>
        </w:rPr>
        <w:t xml:space="preserve"> nástrojů sledování přechodu k oběhovému hospodářství, včetně vývoje nových indikátorů, analýza životního cyklu výrobků, </w:t>
      </w:r>
      <w:proofErr w:type="spellStart"/>
      <w:r w:rsidRPr="000314BF">
        <w:rPr>
          <w:rFonts w:cstheme="minorHAnsi"/>
        </w:rPr>
        <w:t>ekodesign</w:t>
      </w:r>
      <w:proofErr w:type="spellEnd"/>
      <w:r w:rsidRPr="000314BF">
        <w:rPr>
          <w:rFonts w:cstheme="minorHAnsi"/>
        </w:rPr>
        <w:t xml:space="preserve">, problematika kontaminace prostředí z hlediska technologií, nově se vyskytujících polutantů, využití nových metod a přístupů </w:t>
      </w:r>
      <w:r w:rsidRPr="000314BF">
        <w:rPr>
          <w:rFonts w:cstheme="minorHAnsi"/>
        </w:rPr>
        <w:t>k identifikaci a odstranění znečištění, např. prostřednictvím dálkového průzkumu země.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  <w:bCs/>
        </w:rPr>
      </w:pPr>
      <w:r w:rsidRPr="000314BF">
        <w:rPr>
          <w:rFonts w:cstheme="minorHAnsi"/>
          <w:bCs/>
        </w:rPr>
        <w:t>Činnost Centra by měla propojit přírodovědné, technické a humanitní obory s cílem posunout ČR blíže k oběhovému hospodářství.</w:t>
      </w:r>
    </w:p>
    <w:p w:rsidR="00444F56" w:rsidRPr="000314BF" w:rsidRDefault="008C12E6" w:rsidP="00444F56">
      <w:pPr>
        <w:spacing w:before="120" w:after="120" w:line="276" w:lineRule="auto"/>
        <w:ind w:left="720"/>
        <w:rPr>
          <w:rFonts w:cstheme="minorHAnsi"/>
          <w:bCs/>
          <w:iCs/>
        </w:rPr>
      </w:pPr>
      <w:r w:rsidRPr="000314BF">
        <w:rPr>
          <w:rFonts w:cstheme="minorHAnsi"/>
          <w:bCs/>
        </w:rPr>
        <w:t xml:space="preserve">V rámci </w:t>
      </w:r>
      <w:r w:rsidRPr="000314BF">
        <w:rPr>
          <w:rFonts w:cstheme="minorHAnsi"/>
          <w:b/>
          <w:bCs/>
        </w:rPr>
        <w:t>programu EPSILON</w:t>
      </w:r>
      <w:r w:rsidRPr="000314BF">
        <w:rPr>
          <w:rFonts w:cstheme="minorHAnsi"/>
          <w:bCs/>
        </w:rPr>
        <w:t xml:space="preserve"> je řešen Projekt T</w:t>
      </w:r>
      <w:r w:rsidRPr="000314BF">
        <w:rPr>
          <w:rFonts w:cstheme="minorHAnsi"/>
          <w:bCs/>
        </w:rPr>
        <w:t xml:space="preserve">H04030297 s názvem </w:t>
      </w:r>
      <w:r w:rsidR="00CE3C4F" w:rsidRPr="000314BF">
        <w:rPr>
          <w:rFonts w:cstheme="minorHAnsi"/>
          <w:b/>
          <w:bCs/>
        </w:rPr>
        <w:t>„</w:t>
      </w:r>
      <w:r w:rsidRPr="000314BF">
        <w:rPr>
          <w:rFonts w:cstheme="minorHAnsi"/>
          <w:b/>
          <w:bCs/>
        </w:rPr>
        <w:t xml:space="preserve">Inteligentní systém pro provoz odpadového hospodářství v rámci </w:t>
      </w:r>
      <w:proofErr w:type="spellStart"/>
      <w:r w:rsidRPr="000314BF">
        <w:rPr>
          <w:rFonts w:cstheme="minorHAnsi"/>
          <w:b/>
          <w:bCs/>
        </w:rPr>
        <w:t>SmartCity</w:t>
      </w:r>
      <w:proofErr w:type="spellEnd"/>
      <w:r w:rsidR="00CE3C4F" w:rsidRPr="000314BF">
        <w:rPr>
          <w:rFonts w:cstheme="minorHAnsi"/>
          <w:b/>
          <w:bCs/>
        </w:rPr>
        <w:t>“</w:t>
      </w:r>
      <w:r w:rsidRPr="000314BF">
        <w:rPr>
          <w:rFonts w:cstheme="minorHAnsi"/>
          <w:bCs/>
          <w:i/>
          <w:iCs/>
        </w:rPr>
        <w:t xml:space="preserve">. </w:t>
      </w:r>
      <w:r w:rsidRPr="000314BF">
        <w:rPr>
          <w:rFonts w:cstheme="minorHAnsi"/>
          <w:bCs/>
          <w:iCs/>
        </w:rPr>
        <w:t>Cílem je vytvoření</w:t>
      </w:r>
      <w:r w:rsidRPr="000314BF">
        <w:rPr>
          <w:rFonts w:cstheme="minorHAnsi"/>
          <w:bCs/>
          <w:i/>
          <w:iCs/>
        </w:rPr>
        <w:t xml:space="preserve"> </w:t>
      </w:r>
      <w:r w:rsidRPr="000314BF">
        <w:rPr>
          <w:rFonts w:cstheme="minorHAnsi"/>
          <w:bCs/>
        </w:rPr>
        <w:lastRenderedPageBreak/>
        <w:t>softwaru, který ukládá sbíraná data a porovnáváním a zkoumáním dat pomůže řešit odpadové hospodářství ve městech a obcích. Systém pomocí IT technologií bude evidovat nádoby, jejich zaplnění a s pomocí dalších dat bude připravovat souhrnné zprávy. Tento sys</w:t>
      </w:r>
      <w:r w:rsidRPr="000314BF">
        <w:rPr>
          <w:rFonts w:cstheme="minorHAnsi"/>
          <w:bCs/>
        </w:rPr>
        <w:t xml:space="preserve">tém ve výsledku umožní optimalizaci rozložení i typů nádob uvnitř města, a bude predikovat zaplněnost pomocí statistických modulů. Zároveň bude možné odhalovat další souvislosti jako sezónnost nebo frekvence pohybu obyvatel na místech ve městě. Projekt je </w:t>
      </w:r>
      <w:r w:rsidRPr="000314BF">
        <w:rPr>
          <w:rFonts w:cstheme="minorHAnsi"/>
          <w:bCs/>
        </w:rPr>
        <w:t xml:space="preserve">realizovaný </w:t>
      </w:r>
      <w:r w:rsidRPr="000314BF">
        <w:rPr>
          <w:rFonts w:cstheme="minorHAnsi"/>
          <w:bCs/>
          <w:iCs/>
        </w:rPr>
        <w:t xml:space="preserve">v letech 2019–2020 </w:t>
      </w:r>
      <w:r w:rsidRPr="000314BF">
        <w:rPr>
          <w:rFonts w:cstheme="minorHAnsi"/>
          <w:bCs/>
        </w:rPr>
        <w:t xml:space="preserve">se státní podporou </w:t>
      </w:r>
      <w:r w:rsidRPr="000314BF">
        <w:rPr>
          <w:rFonts w:cstheme="minorHAnsi"/>
          <w:bCs/>
          <w:iCs/>
        </w:rPr>
        <w:t>5</w:t>
      </w:r>
      <w:r w:rsidR="00DB7008" w:rsidRPr="000314BF">
        <w:rPr>
          <w:rFonts w:cstheme="minorHAnsi"/>
          <w:bCs/>
          <w:iCs/>
        </w:rPr>
        <w:t> </w:t>
      </w:r>
      <w:r w:rsidRPr="000314BF">
        <w:rPr>
          <w:rFonts w:cstheme="minorHAnsi"/>
          <w:bCs/>
          <w:iCs/>
        </w:rPr>
        <w:t>189</w:t>
      </w:r>
      <w:r w:rsidR="00DB7008" w:rsidRPr="000314BF">
        <w:rPr>
          <w:rFonts w:cstheme="minorHAnsi"/>
          <w:bCs/>
          <w:iCs/>
        </w:rPr>
        <w:t> </w:t>
      </w:r>
      <w:r w:rsidRPr="000314BF">
        <w:rPr>
          <w:rFonts w:cstheme="minorHAnsi"/>
          <w:bCs/>
          <w:iCs/>
        </w:rPr>
        <w:t>tis. Kč.</w:t>
      </w:r>
    </w:p>
    <w:p w:rsidR="00D51D7C" w:rsidRPr="000314BF" w:rsidRDefault="008C12E6" w:rsidP="00D51D7C">
      <w:pPr>
        <w:spacing w:before="120" w:after="120" w:line="276" w:lineRule="auto"/>
        <w:ind w:left="720"/>
        <w:rPr>
          <w:rFonts w:cstheme="minorHAnsi"/>
          <w:bCs/>
          <w:iCs/>
        </w:rPr>
      </w:pPr>
      <w:r w:rsidRPr="000314BF">
        <w:rPr>
          <w:rFonts w:cstheme="minorHAnsi"/>
          <w:bCs/>
          <w:iCs/>
        </w:rPr>
        <w:t xml:space="preserve">Z resortního programu TAČR </w:t>
      </w:r>
      <w:r w:rsidRPr="000314BF">
        <w:rPr>
          <w:rFonts w:cstheme="minorHAnsi"/>
          <w:b/>
          <w:bCs/>
          <w:iCs/>
        </w:rPr>
        <w:t>Beta2</w:t>
      </w:r>
      <w:r w:rsidRPr="000314BF">
        <w:rPr>
          <w:rFonts w:cstheme="minorHAnsi"/>
          <w:bCs/>
          <w:iCs/>
        </w:rPr>
        <w:t xml:space="preserve"> byl v letech 2019 a 2020 řešen projekt </w:t>
      </w:r>
      <w:r w:rsidRPr="000314BF">
        <w:rPr>
          <w:rFonts w:cstheme="minorHAnsi"/>
          <w:bCs/>
          <w:i/>
          <w:iCs/>
        </w:rPr>
        <w:t>„Prognózování produkce odpadů a stanovení složení komunálního odpadu“</w:t>
      </w:r>
      <w:r w:rsidRPr="000314BF">
        <w:rPr>
          <w:rFonts w:cstheme="minorHAnsi"/>
          <w:bCs/>
          <w:iCs/>
        </w:rPr>
        <w:t>, jehož řešitelem je Vysoké učení technické v Brně</w:t>
      </w:r>
      <w:r w:rsidRPr="000314BF">
        <w:rPr>
          <w:rFonts w:cstheme="minorHAnsi"/>
          <w:bCs/>
          <w:iCs/>
        </w:rPr>
        <w:t>, Fakulta strojního inženýrství. Cílem projektu veřejné zakázky bylo identifikovat, popsat a nastavit proces prognózování produkce všech odpadů včetně komunálních v ČR ve výhledu až 10 let a současně nastavit postupy pro stanovení složení směsného komunáln</w:t>
      </w:r>
      <w:r w:rsidRPr="000314BF">
        <w:rPr>
          <w:rFonts w:cstheme="minorHAnsi"/>
          <w:bCs/>
          <w:iCs/>
        </w:rPr>
        <w:t>ího odpadu z obcí a</w:t>
      </w:r>
      <w:r w:rsidR="00611D09" w:rsidRPr="000314BF">
        <w:rPr>
          <w:rFonts w:cstheme="minorHAnsi"/>
          <w:bCs/>
          <w:iCs/>
        </w:rPr>
        <w:t> </w:t>
      </w:r>
      <w:r w:rsidRPr="000314BF">
        <w:rPr>
          <w:rFonts w:cstheme="minorHAnsi"/>
          <w:bCs/>
          <w:iCs/>
        </w:rPr>
        <w:t>komunálního odpadu.</w:t>
      </w:r>
    </w:p>
    <w:p w:rsidR="00444F56" w:rsidRPr="000314BF" w:rsidRDefault="008C12E6" w:rsidP="00001981">
      <w:pPr>
        <w:pStyle w:val="Odstavecseseznamem"/>
        <w:spacing w:before="120" w:after="360" w:line="276" w:lineRule="auto"/>
        <w:ind w:left="709"/>
        <w:contextualSpacing w:val="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Seznam podpořených projektů je uveden v příloze. </w:t>
      </w:r>
    </w:p>
    <w:p w:rsidR="008A378A" w:rsidRPr="000314BF" w:rsidRDefault="008C12E6" w:rsidP="008A378A">
      <w:pPr>
        <w:pStyle w:val="Odstavecseseznamem"/>
        <w:numPr>
          <w:ilvl w:val="0"/>
          <w:numId w:val="5"/>
        </w:numPr>
        <w:spacing w:after="60" w:line="276" w:lineRule="auto"/>
        <w:ind w:left="635" w:hanging="357"/>
        <w:contextualSpacing w:val="0"/>
        <w:rPr>
          <w:rFonts w:cstheme="minorHAnsi"/>
          <w:b/>
          <w:szCs w:val="24"/>
        </w:rPr>
      </w:pPr>
      <w:r w:rsidRPr="000314BF">
        <w:rPr>
          <w:rFonts w:cstheme="minorHAnsi"/>
          <w:b/>
          <w:u w:val="single"/>
        </w:rPr>
        <w:t>Resortní programy na podporu výzkumu a vývoje</w:t>
      </w:r>
    </w:p>
    <w:p w:rsidR="008A378A" w:rsidRPr="000314BF" w:rsidRDefault="008C12E6" w:rsidP="008A378A">
      <w:pPr>
        <w:pStyle w:val="Odstavecseseznamem"/>
        <w:numPr>
          <w:ilvl w:val="0"/>
          <w:numId w:val="5"/>
        </w:numPr>
        <w:spacing w:after="60" w:line="276" w:lineRule="auto"/>
        <w:ind w:left="635" w:hanging="357"/>
        <w:contextualSpacing w:val="0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>Resortní výzkum Ministerstva průmyslu a obchodu</w:t>
      </w:r>
    </w:p>
    <w:p w:rsidR="008A378A" w:rsidRPr="000314BF" w:rsidRDefault="008C12E6" w:rsidP="008A378A">
      <w:pPr>
        <w:spacing w:after="120" w:line="276" w:lineRule="auto"/>
        <w:ind w:left="720"/>
        <w:rPr>
          <w:rFonts w:cstheme="minorHAnsi"/>
        </w:rPr>
      </w:pPr>
      <w:r w:rsidRPr="000314BF">
        <w:rPr>
          <w:rFonts w:cstheme="minorHAnsi"/>
        </w:rPr>
        <w:t xml:space="preserve">MPO zajišťuje podporu projektů aplikovaného výzkumu a experimentálního </w:t>
      </w:r>
      <w:r w:rsidRPr="000314BF">
        <w:rPr>
          <w:rFonts w:cstheme="minorHAnsi"/>
        </w:rPr>
        <w:t>vývoje pro průmyslovou výrobu z prostředků státního rozpočtu ČR v rámci programu TRIO. Dále byl usnesením vlády č. 202 ze dne 25. března 2019, schválen program na podporu průmyslového výzkumu a experimentálního vývoje TREND, jehož je MPO odborným garantem.</w:t>
      </w:r>
    </w:p>
    <w:p w:rsidR="008A378A" w:rsidRPr="000314BF" w:rsidRDefault="008C12E6" w:rsidP="000A4255">
      <w:pPr>
        <w:pStyle w:val="Odstavecseseznamem"/>
        <w:spacing w:before="120" w:after="240" w:line="276" w:lineRule="auto"/>
        <w:ind w:left="709"/>
        <w:contextualSpacing w:val="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Seznam podpořených projektů je uveden v příloze. </w:t>
      </w:r>
    </w:p>
    <w:p w:rsidR="008A378A" w:rsidRPr="000314BF" w:rsidRDefault="008C12E6" w:rsidP="008A378A">
      <w:pPr>
        <w:pStyle w:val="Odstavecseseznamem"/>
        <w:numPr>
          <w:ilvl w:val="0"/>
          <w:numId w:val="10"/>
        </w:numPr>
        <w:spacing w:after="120" w:line="276" w:lineRule="auto"/>
        <w:ind w:left="714" w:hanging="357"/>
        <w:contextualSpacing w:val="0"/>
        <w:rPr>
          <w:rFonts w:cstheme="minorHAnsi"/>
          <w:b/>
          <w:szCs w:val="24"/>
        </w:rPr>
      </w:pPr>
      <w:r w:rsidRPr="000314BF">
        <w:rPr>
          <w:rFonts w:cstheme="minorHAnsi"/>
          <w:b/>
          <w:szCs w:val="24"/>
        </w:rPr>
        <w:t xml:space="preserve">Resortní výzkum Ministerstvo zemědělství  </w:t>
      </w:r>
    </w:p>
    <w:p w:rsidR="008A378A" w:rsidRPr="000314BF" w:rsidRDefault="008C12E6" w:rsidP="008A378A">
      <w:pPr>
        <w:spacing w:after="120" w:line="276" w:lineRule="auto"/>
        <w:ind w:left="720"/>
        <w:rPr>
          <w:rFonts w:cstheme="minorHAnsi"/>
        </w:rPr>
      </w:pPr>
      <w:proofErr w:type="spellStart"/>
      <w:r w:rsidRPr="000314BF">
        <w:rPr>
          <w:rFonts w:cstheme="minorHAnsi"/>
        </w:rPr>
        <w:t>MZe</w:t>
      </w:r>
      <w:proofErr w:type="spellEnd"/>
      <w:r w:rsidRPr="000314BF">
        <w:rPr>
          <w:rFonts w:cstheme="minorHAnsi"/>
        </w:rPr>
        <w:t xml:space="preserve"> v rámci Programu aplikovaného výzkumu Ministerstva zemědělství na období 2017–2025, ZEMĚ, podporuje zejména projekty v oblasti inovativního zemědělství a</w:t>
      </w:r>
      <w:r w:rsidR="000E70E8" w:rsidRPr="000314BF">
        <w:rPr>
          <w:rFonts w:cstheme="minorHAnsi"/>
        </w:rPr>
        <w:t> </w:t>
      </w:r>
      <w:r w:rsidRPr="000314BF">
        <w:rPr>
          <w:rFonts w:cstheme="minorHAnsi"/>
        </w:rPr>
        <w:t xml:space="preserve">lesnictví. </w:t>
      </w:r>
    </w:p>
    <w:p w:rsidR="008A378A" w:rsidRPr="000314BF" w:rsidRDefault="008C12E6" w:rsidP="000A4255">
      <w:pPr>
        <w:pStyle w:val="Odstavecseseznamem"/>
        <w:spacing w:before="120" w:after="240" w:line="276" w:lineRule="auto"/>
        <w:ind w:left="709"/>
        <w:contextualSpacing w:val="0"/>
        <w:rPr>
          <w:rFonts w:cstheme="minorHAnsi"/>
          <w:szCs w:val="24"/>
        </w:rPr>
      </w:pPr>
      <w:r w:rsidRPr="000314BF">
        <w:rPr>
          <w:rFonts w:cstheme="minorHAnsi"/>
          <w:szCs w:val="24"/>
        </w:rPr>
        <w:t xml:space="preserve">Seznam podpořených projektů je uveden v příloze. </w:t>
      </w:r>
    </w:p>
    <w:p w:rsidR="008A378A" w:rsidRPr="000314BF" w:rsidRDefault="008C12E6" w:rsidP="008A37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rPr>
          <w:rFonts w:ascii="Calibri" w:hAnsi="Calibri" w:cs="Tahoma"/>
          <w:b/>
          <w:u w:val="single"/>
        </w:rPr>
      </w:pPr>
      <w:r w:rsidRPr="000314BF">
        <w:rPr>
          <w:rFonts w:ascii="Calibri" w:hAnsi="Calibri" w:cs="Tahoma"/>
          <w:b/>
          <w:u w:val="single"/>
        </w:rPr>
        <w:t>Dobrovolné nástroje (</w:t>
      </w:r>
      <w:proofErr w:type="spellStart"/>
      <w:r w:rsidRPr="000314BF">
        <w:rPr>
          <w:rFonts w:ascii="Calibri" w:hAnsi="Calibri" w:cs="Tahoma"/>
          <w:b/>
          <w:u w:val="single"/>
        </w:rPr>
        <w:t>Ekoznačení</w:t>
      </w:r>
      <w:proofErr w:type="spellEnd"/>
      <w:r w:rsidRPr="000314BF">
        <w:rPr>
          <w:rFonts w:ascii="Calibri" w:hAnsi="Calibri" w:cs="Tahoma"/>
          <w:b/>
          <w:u w:val="single"/>
        </w:rPr>
        <w:t>, EŠV, Ekoznačka, EMAS, Zelené veřejné zakázky – GPP)</w:t>
      </w:r>
    </w:p>
    <w:p w:rsidR="008A378A" w:rsidRPr="000314BF" w:rsidRDefault="008C12E6" w:rsidP="008A378A">
      <w:pPr>
        <w:autoSpaceDE w:val="0"/>
        <w:autoSpaceDN w:val="0"/>
        <w:adjustRightInd w:val="0"/>
        <w:spacing w:line="276" w:lineRule="auto"/>
        <w:ind w:left="709"/>
        <w:rPr>
          <w:rFonts w:ascii="Calibri" w:hAnsi="Calibri" w:cs="Tahoma"/>
        </w:rPr>
      </w:pPr>
      <w:proofErr w:type="spellStart"/>
      <w:r w:rsidRPr="000314BF">
        <w:t>Ekoznačení</w:t>
      </w:r>
      <w:proofErr w:type="spellEnd"/>
      <w:r w:rsidRPr="000314BF">
        <w:t xml:space="preserve"> a EMAS patří mezi dobrovolné nástroje ochrany životního prostředí. S</w:t>
      </w:r>
      <w:r w:rsidRPr="000314BF">
        <w:rPr>
          <w:rFonts w:ascii="Calibri" w:hAnsi="Calibri" w:cs="Tahoma"/>
        </w:rPr>
        <w:t xml:space="preserve">ystém </w:t>
      </w:r>
      <w:proofErr w:type="spellStart"/>
      <w:r w:rsidRPr="000314BF">
        <w:rPr>
          <w:rFonts w:ascii="Calibri" w:hAnsi="Calibri" w:cs="Tahoma"/>
        </w:rPr>
        <w:t>ekoznačení</w:t>
      </w:r>
      <w:proofErr w:type="spellEnd"/>
      <w:r w:rsidRPr="000314BF">
        <w:rPr>
          <w:rFonts w:ascii="Calibri" w:hAnsi="Calibri" w:cs="Tahoma"/>
        </w:rPr>
        <w:t xml:space="preserve"> byl V ČR zave</w:t>
      </w:r>
      <w:r w:rsidRPr="000314BF">
        <w:rPr>
          <w:rFonts w:ascii="Calibri" w:hAnsi="Calibri" w:cs="Tahoma"/>
        </w:rPr>
        <w:t xml:space="preserve">den usnesením č. 159 ze dne 7. dubna 1993. Na základě tohoto usnesení byl 14. dubna 1994 vyhlášen Národní program označování výrobků ochrannou známkou Ekologicky šetrný výrobek (dnes Národní program </w:t>
      </w:r>
      <w:r w:rsidRPr="000314BF">
        <w:rPr>
          <w:rFonts w:ascii="Calibri" w:hAnsi="Calibri" w:cs="Tahoma"/>
        </w:rPr>
        <w:lastRenderedPageBreak/>
        <w:t xml:space="preserve">označování ekologicky šetrných výrobků a služeb). V roce </w:t>
      </w:r>
      <w:r w:rsidRPr="000314BF">
        <w:rPr>
          <w:rFonts w:ascii="Calibri" w:hAnsi="Calibri" w:cs="Tahoma"/>
        </w:rPr>
        <w:t>2004 se vstupem České republiky do Evropské unie se součástí programu stalo i udělování Ekoznačky EU (známé též jako Květina/</w:t>
      </w:r>
      <w:proofErr w:type="spellStart"/>
      <w:r w:rsidRPr="000314BF">
        <w:rPr>
          <w:rFonts w:ascii="Calibri" w:hAnsi="Calibri" w:cs="Tahoma"/>
        </w:rPr>
        <w:t>The</w:t>
      </w:r>
      <w:proofErr w:type="spellEnd"/>
      <w:r w:rsidRPr="000314BF">
        <w:rPr>
          <w:rFonts w:ascii="Calibri" w:hAnsi="Calibri" w:cs="Tahoma"/>
        </w:rPr>
        <w:t xml:space="preserve"> </w:t>
      </w:r>
      <w:proofErr w:type="spellStart"/>
      <w:r w:rsidRPr="000314BF">
        <w:rPr>
          <w:rFonts w:ascii="Calibri" w:hAnsi="Calibri" w:cs="Tahoma"/>
        </w:rPr>
        <w:t>Flower</w:t>
      </w:r>
      <w:proofErr w:type="spellEnd"/>
      <w:r w:rsidRPr="000314BF">
        <w:rPr>
          <w:rFonts w:ascii="Calibri" w:hAnsi="Calibri" w:cs="Tahoma"/>
        </w:rPr>
        <w:t>).</w:t>
      </w:r>
    </w:p>
    <w:p w:rsidR="008A378A" w:rsidRPr="000314BF" w:rsidRDefault="008C12E6" w:rsidP="008A378A">
      <w:pPr>
        <w:autoSpaceDE w:val="0"/>
        <w:autoSpaceDN w:val="0"/>
        <w:adjustRightInd w:val="0"/>
        <w:spacing w:line="276" w:lineRule="auto"/>
        <w:ind w:left="709"/>
        <w:rPr>
          <w:rFonts w:ascii="Calibri" w:hAnsi="Calibri" w:cs="Tahoma"/>
        </w:rPr>
      </w:pPr>
      <w:r w:rsidRPr="000314BF">
        <w:rPr>
          <w:rFonts w:ascii="Calibri" w:hAnsi="Calibri" w:cs="Tahoma"/>
        </w:rPr>
        <w:t>MŽP dále představilo „Národní program environmentálního značení (NPEZ) – aktualizace 2017“, který představuje zastřeše</w:t>
      </w:r>
      <w:r w:rsidRPr="000314BF">
        <w:rPr>
          <w:rFonts w:ascii="Calibri" w:hAnsi="Calibri" w:cs="Tahoma"/>
        </w:rPr>
        <w:t>ní všech tří existujících typů environmentálního značení – typu I, realizovaného jako Národní program ekologicky šetrných výrobků a služeb (EŠV), resp. program Ekoznačky EU, a dále typu II. – vlastní environmentální tvrzení a typu III. – environmentální pr</w:t>
      </w:r>
      <w:r w:rsidRPr="000314BF">
        <w:rPr>
          <w:rFonts w:ascii="Calibri" w:hAnsi="Calibri" w:cs="Tahoma"/>
        </w:rPr>
        <w:t xml:space="preserve">ohlášení typu III. </w:t>
      </w:r>
    </w:p>
    <w:p w:rsidR="008A378A" w:rsidRPr="000314BF" w:rsidRDefault="008C12E6" w:rsidP="008A378A">
      <w:pPr>
        <w:autoSpaceDE w:val="0"/>
        <w:autoSpaceDN w:val="0"/>
        <w:adjustRightInd w:val="0"/>
        <w:spacing w:after="120" w:line="276" w:lineRule="auto"/>
        <w:ind w:left="709"/>
        <w:rPr>
          <w:rFonts w:ascii="Calibri" w:hAnsi="Calibri" w:cs="Tahoma"/>
        </w:rPr>
      </w:pPr>
      <w:r w:rsidRPr="000314BF">
        <w:rPr>
          <w:rFonts w:ascii="Calibri" w:hAnsi="Calibri" w:cs="Tahoma"/>
        </w:rPr>
        <w:t xml:space="preserve">V posledních letech se programy </w:t>
      </w:r>
      <w:proofErr w:type="spellStart"/>
      <w:r w:rsidRPr="000314BF">
        <w:rPr>
          <w:rFonts w:ascii="Calibri" w:hAnsi="Calibri" w:cs="Tahoma"/>
        </w:rPr>
        <w:t>ekoznačení</w:t>
      </w:r>
      <w:proofErr w:type="spellEnd"/>
      <w:r w:rsidRPr="000314BF">
        <w:rPr>
          <w:rFonts w:ascii="Calibri" w:hAnsi="Calibri" w:cs="Tahoma"/>
        </w:rPr>
        <w:t xml:space="preserve"> v ČR se potýkaly s odlivem držitelů zapříčiněným nedostatečnou informační podporou ze strany MŽP. Již od roku 2018 byla proto připravována informační kampaň, jejímž cílem je informovat veřejnos</w:t>
      </w:r>
      <w:r w:rsidRPr="000314BF">
        <w:rPr>
          <w:rFonts w:ascii="Calibri" w:hAnsi="Calibri" w:cs="Tahoma"/>
        </w:rPr>
        <w:t>t o</w:t>
      </w:r>
      <w:r w:rsidR="000E70E8" w:rsidRPr="000314BF">
        <w:rPr>
          <w:rFonts w:ascii="Calibri" w:hAnsi="Calibri" w:cs="Tahoma"/>
        </w:rPr>
        <w:t> </w:t>
      </w:r>
      <w:r w:rsidRPr="000314BF">
        <w:rPr>
          <w:rFonts w:ascii="Calibri" w:hAnsi="Calibri" w:cs="Tahoma"/>
        </w:rPr>
        <w:t xml:space="preserve">programech </w:t>
      </w:r>
      <w:proofErr w:type="spellStart"/>
      <w:r w:rsidRPr="000314BF">
        <w:rPr>
          <w:rFonts w:ascii="Calibri" w:hAnsi="Calibri" w:cs="Tahoma"/>
        </w:rPr>
        <w:t>ekoznačení</w:t>
      </w:r>
      <w:proofErr w:type="spellEnd"/>
      <w:r w:rsidRPr="000314BF">
        <w:rPr>
          <w:rFonts w:ascii="Calibri" w:hAnsi="Calibri" w:cs="Tahoma"/>
        </w:rPr>
        <w:t xml:space="preserve"> a o benefitech environmentálně šetrných výrobků a služeb, což následně spotřebitelům umožní lépe se orientovat v nabízeném zboží. Kampaň má zároveň cílit na výrobce, aby více zvážili environmentální stránku svého produktu s</w:t>
      </w:r>
      <w:r w:rsidR="000E70E8" w:rsidRPr="000314BF">
        <w:rPr>
          <w:rFonts w:ascii="Calibri" w:hAnsi="Calibri" w:cs="Tahoma"/>
        </w:rPr>
        <w:t> </w:t>
      </w:r>
      <w:r w:rsidRPr="000314BF">
        <w:rPr>
          <w:rFonts w:ascii="Calibri" w:hAnsi="Calibri" w:cs="Tahoma"/>
        </w:rPr>
        <w:t>možnos</w:t>
      </w:r>
      <w:r w:rsidRPr="000314BF">
        <w:rPr>
          <w:rFonts w:ascii="Calibri" w:hAnsi="Calibri" w:cs="Tahoma"/>
        </w:rPr>
        <w:t xml:space="preserve">tí nechat jej certifikovat. V roce 2020 se připravovala veřejná soutěž </w:t>
      </w:r>
      <w:r w:rsidR="000E70E8" w:rsidRPr="000314BF">
        <w:rPr>
          <w:rFonts w:ascii="Calibri" w:hAnsi="Calibri" w:cs="Tahoma"/>
        </w:rPr>
        <w:t xml:space="preserve">k realizaci </w:t>
      </w:r>
      <w:r w:rsidRPr="000314BF">
        <w:rPr>
          <w:rFonts w:ascii="Calibri" w:hAnsi="Calibri" w:cs="Tahoma"/>
        </w:rPr>
        <w:t>informační kampa</w:t>
      </w:r>
      <w:r w:rsidR="000E70E8" w:rsidRPr="000314BF">
        <w:rPr>
          <w:rFonts w:ascii="Calibri" w:hAnsi="Calibri" w:cs="Tahoma"/>
        </w:rPr>
        <w:t>ně</w:t>
      </w:r>
      <w:r w:rsidRPr="000314BF">
        <w:rPr>
          <w:rFonts w:ascii="Calibri" w:hAnsi="Calibri" w:cs="Tahoma"/>
        </w:rPr>
        <w:t xml:space="preserve"> </w:t>
      </w:r>
    </w:p>
    <w:p w:rsidR="008A378A" w:rsidRPr="000314BF" w:rsidRDefault="008C12E6" w:rsidP="008A378A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libri" w:hAnsi="Calibri" w:cs="Tahoma"/>
        </w:rPr>
      </w:pPr>
      <w:r w:rsidRPr="000314BF">
        <w:rPr>
          <w:rFonts w:ascii="Calibri" w:hAnsi="Calibri" w:cs="Tahoma"/>
        </w:rPr>
        <w:t>S ohledem na nově obsaženou zásadu (viz § 6, odst. 4, Zákona č. 134/2016 Sb.</w:t>
      </w:r>
      <w:r w:rsidR="000E70E8" w:rsidRPr="000314BF">
        <w:rPr>
          <w:rFonts w:ascii="Calibri" w:hAnsi="Calibri" w:cs="Tahoma"/>
        </w:rPr>
        <w:t>,</w:t>
      </w:r>
      <w:r w:rsidRPr="000314BF">
        <w:rPr>
          <w:rFonts w:ascii="Calibri" w:hAnsi="Calibri" w:cs="Tahoma"/>
        </w:rPr>
        <w:t xml:space="preserve"> o</w:t>
      </w:r>
      <w:r w:rsidR="000E70E8" w:rsidRPr="000314BF">
        <w:rPr>
          <w:rFonts w:ascii="Calibri" w:hAnsi="Calibri" w:cs="Tahoma"/>
        </w:rPr>
        <w:t> </w:t>
      </w:r>
      <w:r w:rsidRPr="000314BF">
        <w:rPr>
          <w:rFonts w:ascii="Calibri" w:hAnsi="Calibri" w:cs="Tahoma"/>
        </w:rPr>
        <w:t xml:space="preserve">zadávání veřejných zakázek) při zadávání veřejných zakázek – zohledňovat </w:t>
      </w:r>
      <w:r w:rsidRPr="000314BF">
        <w:rPr>
          <w:rFonts w:ascii="Calibri" w:hAnsi="Calibri" w:cs="Tahoma"/>
        </w:rPr>
        <w:t>od 1.</w:t>
      </w:r>
      <w:r w:rsidR="00B8191B">
        <w:rPr>
          <w:rFonts w:ascii="Calibri" w:hAnsi="Calibri" w:cs="Tahoma"/>
        </w:rPr>
        <w:t> </w:t>
      </w:r>
      <w:r w:rsidRPr="000314BF">
        <w:rPr>
          <w:rFonts w:ascii="Calibri" w:hAnsi="Calibri" w:cs="Tahoma"/>
        </w:rPr>
        <w:t>1.</w:t>
      </w:r>
      <w:r w:rsidR="00B8191B">
        <w:rPr>
          <w:rFonts w:ascii="Calibri" w:hAnsi="Calibri" w:cs="Tahoma"/>
        </w:rPr>
        <w:t> </w:t>
      </w:r>
      <w:r w:rsidRPr="000314BF">
        <w:rPr>
          <w:rFonts w:ascii="Calibri" w:hAnsi="Calibri" w:cs="Tahoma"/>
        </w:rPr>
        <w:t>2021 environmentální, sociální a inovativní parametry v rámci všech zakázek se zvýšil význam dalšího dobrovolného nástroje, a to tzv. zelených veřejných zakázek. Jednou z možností, jak environmentální část této zásady naplnit je nákup výrobků s ek</w:t>
      </w:r>
      <w:r w:rsidRPr="000314BF">
        <w:rPr>
          <w:rFonts w:ascii="Calibri" w:hAnsi="Calibri" w:cs="Tahoma"/>
        </w:rPr>
        <w:t>označkou, environmentálním prohlášením typu III, nebo využití služeb společností, které jsou registrovány v Programu EMAS. Dále mohou zadavatelé využít metodiky vydané Evropskou komisí, či MŽP.</w:t>
      </w:r>
    </w:p>
    <w:p w:rsidR="008A378A" w:rsidRPr="000314BF" w:rsidRDefault="008C12E6" w:rsidP="008A378A">
      <w:pPr>
        <w:autoSpaceDE w:val="0"/>
        <w:autoSpaceDN w:val="0"/>
        <w:adjustRightInd w:val="0"/>
        <w:spacing w:after="60"/>
        <w:ind w:left="709"/>
        <w:rPr>
          <w:rFonts w:ascii="Calibri" w:hAnsi="Calibri"/>
          <w:b/>
          <w:bCs/>
        </w:rPr>
      </w:pPr>
      <w:r w:rsidRPr="000314BF">
        <w:rPr>
          <w:rFonts w:ascii="Calibri" w:hAnsi="Calibri"/>
          <w:b/>
          <w:bCs/>
        </w:rPr>
        <w:t>Tabulka 1</w:t>
      </w:r>
      <w:r w:rsidR="005E7AD6">
        <w:rPr>
          <w:rFonts w:ascii="Calibri" w:hAnsi="Calibri"/>
          <w:b/>
          <w:bCs/>
        </w:rPr>
        <w:t>7</w:t>
      </w:r>
      <w:r w:rsidRPr="000314BF">
        <w:rPr>
          <w:rFonts w:ascii="Calibri" w:hAnsi="Calibri"/>
          <w:b/>
          <w:bCs/>
        </w:rPr>
        <w:t>: Národní program označování ekologicky šetrných výr</w:t>
      </w:r>
      <w:r w:rsidRPr="000314BF">
        <w:rPr>
          <w:rFonts w:ascii="Calibri" w:hAnsi="Calibri"/>
          <w:b/>
          <w:bCs/>
        </w:rPr>
        <w:t xml:space="preserve">obků a služeb ochrannou známkou – ekoznačkou Ekologicky šetrný výrobek/Ekologicky šetrná služba </w:t>
      </w:r>
    </w:p>
    <w:tbl>
      <w:tblPr>
        <w:tblW w:w="8092" w:type="dxa"/>
        <w:tblInd w:w="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5"/>
        <w:gridCol w:w="1559"/>
        <w:gridCol w:w="1418"/>
      </w:tblGrid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C17C17" w:rsidRPr="000314BF" w:rsidRDefault="00C17C17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17C17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Celkový počet</w:t>
            </w:r>
          </w:p>
        </w:tc>
      </w:tr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8A378A" w:rsidRPr="000314BF" w:rsidRDefault="008A378A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2"/>
              </w:rPr>
            </w:pPr>
            <w:r w:rsidRPr="000314BF">
              <w:rPr>
                <w:rFonts w:cs="Tahoma"/>
                <w:b/>
                <w:sz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2"/>
              </w:rPr>
            </w:pPr>
            <w:r w:rsidRPr="000314BF">
              <w:rPr>
                <w:rFonts w:cs="Tahoma"/>
                <w:b/>
                <w:sz w:val="22"/>
              </w:rPr>
              <w:t>2020</w:t>
            </w:r>
          </w:p>
        </w:tc>
      </w:tr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Licence </w:t>
            </w:r>
            <w:r w:rsidRPr="000314BF">
              <w:rPr>
                <w:rFonts w:cs="Tahoma"/>
                <w:sz w:val="22"/>
              </w:rPr>
              <w:t>pro značení environmentálně šetrný výrobek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31</w:t>
            </w:r>
          </w:p>
        </w:tc>
      </w:tr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Licence </w:t>
            </w:r>
            <w:r w:rsidRPr="000314BF">
              <w:rPr>
                <w:rFonts w:cs="Tahoma"/>
                <w:sz w:val="22"/>
              </w:rPr>
              <w:t>pro značení environmentálně šetrná služba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1</w:t>
            </w:r>
          </w:p>
        </w:tc>
      </w:tr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Licence </w:t>
            </w:r>
            <w:r w:rsidRPr="000314BF">
              <w:rPr>
                <w:rFonts w:cs="Tahoma"/>
                <w:sz w:val="22"/>
              </w:rPr>
              <w:t xml:space="preserve">pro </w:t>
            </w:r>
            <w:r w:rsidRPr="000314BF">
              <w:rPr>
                <w:rFonts w:cs="Tahoma"/>
                <w:sz w:val="22"/>
              </w:rPr>
              <w:t>značení Ekoznačka EU „Květina“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19</w:t>
            </w:r>
          </w:p>
        </w:tc>
      </w:tr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Technické směrnice </w:t>
            </w:r>
            <w:r w:rsidRPr="000314BF">
              <w:rPr>
                <w:rFonts w:cs="Tahoma"/>
                <w:sz w:val="22"/>
              </w:rPr>
              <w:t>pro environmentálně šetrný výrobek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32</w:t>
            </w:r>
          </w:p>
        </w:tc>
      </w:tr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Registrací v</w:t>
            </w:r>
            <w:r w:rsidRPr="000314BF">
              <w:rPr>
                <w:rFonts w:cs="Tahoma"/>
                <w:sz w:val="22"/>
              </w:rPr>
              <w:t>lastních environmentálních tvrzení podle ČSN ISO 14021</w:t>
            </w:r>
            <w:r w:rsidR="005373CB" w:rsidRPr="005373CB">
              <w:rPr>
                <w:rFonts w:cs="Tahoma"/>
                <w:sz w:val="22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0</w:t>
            </w:r>
          </w:p>
        </w:tc>
      </w:tr>
      <w:tr w:rsidR="007E5173" w:rsidTr="00C17C17">
        <w:trPr>
          <w:trHeight w:val="488"/>
        </w:trPr>
        <w:tc>
          <w:tcPr>
            <w:tcW w:w="5115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Počet prohlášení o produktu podle ČSN ISO 14025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118</w:t>
            </w:r>
          </w:p>
        </w:tc>
        <w:tc>
          <w:tcPr>
            <w:tcW w:w="1418" w:type="dxa"/>
            <w:vAlign w:val="center"/>
          </w:tcPr>
          <w:p w:rsidR="008A378A" w:rsidRPr="000314BF" w:rsidRDefault="008C12E6" w:rsidP="008A378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  <w:vertAlign w:val="superscript"/>
              </w:rPr>
            </w:pPr>
            <w:r w:rsidRPr="000314BF">
              <w:rPr>
                <w:rFonts w:cs="Tahoma"/>
                <w:sz w:val="22"/>
              </w:rPr>
              <w:t>118</w:t>
            </w:r>
            <w:r w:rsidRPr="000314BF">
              <w:rPr>
                <w:rFonts w:cs="Tahoma"/>
                <w:sz w:val="22"/>
                <w:vertAlign w:val="superscript"/>
              </w:rPr>
              <w:t>2</w:t>
            </w:r>
          </w:p>
        </w:tc>
      </w:tr>
    </w:tbl>
    <w:p w:rsidR="008A378A" w:rsidRPr="000314BF" w:rsidRDefault="008C12E6" w:rsidP="008A378A">
      <w:pPr>
        <w:autoSpaceDE w:val="0"/>
        <w:autoSpaceDN w:val="0"/>
        <w:adjustRightInd w:val="0"/>
        <w:ind w:left="709"/>
        <w:rPr>
          <w:rFonts w:ascii="Calibri" w:hAnsi="Calibri" w:cs="Tahoma"/>
          <w:sz w:val="18"/>
          <w:szCs w:val="18"/>
        </w:rPr>
      </w:pPr>
      <w:r w:rsidRPr="000314BF">
        <w:rPr>
          <w:rFonts w:ascii="Calibri" w:hAnsi="Calibri" w:cs="Tahoma"/>
          <w:sz w:val="18"/>
          <w:szCs w:val="18"/>
        </w:rPr>
        <w:lastRenderedPageBreak/>
        <w:t xml:space="preserve">Pozn. </w:t>
      </w:r>
      <w:r w:rsidRPr="000314BF">
        <w:rPr>
          <w:rFonts w:ascii="Calibri" w:hAnsi="Calibri" w:cs="Tahoma"/>
          <w:sz w:val="18"/>
          <w:szCs w:val="18"/>
          <w:vertAlign w:val="superscript"/>
        </w:rPr>
        <w:t>1</w:t>
      </w:r>
      <w:r w:rsidRPr="000314BF">
        <w:rPr>
          <w:rFonts w:ascii="Calibri" w:hAnsi="Calibri" w:cs="Tahoma"/>
          <w:sz w:val="18"/>
          <w:szCs w:val="18"/>
        </w:rPr>
        <w:t xml:space="preserve"> V současnosti nejsou registrována žádná vlastní environmentální tvrzení.</w:t>
      </w:r>
    </w:p>
    <w:p w:rsidR="008A378A" w:rsidRPr="000314BF" w:rsidRDefault="008C12E6" w:rsidP="008A378A">
      <w:pPr>
        <w:ind w:left="709"/>
        <w:rPr>
          <w:sz w:val="18"/>
          <w:szCs w:val="18"/>
        </w:rPr>
      </w:pPr>
      <w:r w:rsidRPr="000314BF">
        <w:rPr>
          <w:rFonts w:ascii="Calibri" w:hAnsi="Calibri" w:cs="Tahoma"/>
          <w:sz w:val="18"/>
          <w:szCs w:val="18"/>
          <w:vertAlign w:val="superscript"/>
        </w:rPr>
        <w:t>2</w:t>
      </w:r>
      <w:r w:rsidRPr="000314BF">
        <w:rPr>
          <w:rFonts w:ascii="Calibri" w:hAnsi="Calibri" w:cs="Tahoma"/>
          <w:sz w:val="18"/>
          <w:szCs w:val="18"/>
        </w:rPr>
        <w:t xml:space="preserve"> </w:t>
      </w:r>
      <w:r w:rsidRPr="000314BF">
        <w:rPr>
          <w:sz w:val="18"/>
          <w:szCs w:val="18"/>
        </w:rPr>
        <w:t xml:space="preserve">Není vedena statistika, na základě, které by bylo možné tento údaj zjistit. Číslo 118 odpovídá počtu EPD, které byly v registru v roce k 16. 11. 2021 Nelze dohledat ta EPD, která </w:t>
      </w:r>
      <w:r w:rsidRPr="000314BF">
        <w:rPr>
          <w:sz w:val="18"/>
          <w:szCs w:val="18"/>
        </w:rPr>
        <w:t>byla v registru v roce 2019 / 2020, a jejichž platnost vypršela. Databáze EPD již není rozdělena na stavební a chemické výrobky.</w:t>
      </w:r>
    </w:p>
    <w:p w:rsidR="008A378A" w:rsidRPr="000314BF" w:rsidRDefault="008C12E6" w:rsidP="008A378A">
      <w:pPr>
        <w:autoSpaceDE w:val="0"/>
        <w:autoSpaceDN w:val="0"/>
        <w:adjustRightInd w:val="0"/>
        <w:ind w:left="709"/>
        <w:rPr>
          <w:rFonts w:ascii="Calibri" w:hAnsi="Calibri" w:cs="Tahoma"/>
          <w:i/>
          <w:sz w:val="18"/>
          <w:szCs w:val="18"/>
        </w:rPr>
      </w:pPr>
      <w:r w:rsidRPr="000314BF">
        <w:rPr>
          <w:rFonts w:ascii="Calibri" w:hAnsi="Calibri" w:cs="Tahoma"/>
          <w:i/>
          <w:sz w:val="18"/>
          <w:szCs w:val="18"/>
        </w:rPr>
        <w:t>Zdroj: MŽP, 2019 (CENIA)</w:t>
      </w:r>
    </w:p>
    <w:p w:rsidR="008A378A" w:rsidRPr="000314BF" w:rsidRDefault="008A378A" w:rsidP="008A378A">
      <w:pPr>
        <w:autoSpaceDE w:val="0"/>
        <w:autoSpaceDN w:val="0"/>
        <w:adjustRightInd w:val="0"/>
        <w:ind w:left="709"/>
        <w:rPr>
          <w:rFonts w:ascii="Calibri" w:hAnsi="Calibri" w:cs="Tahoma"/>
          <w:sz w:val="18"/>
          <w:szCs w:val="18"/>
        </w:rPr>
      </w:pPr>
    </w:p>
    <w:p w:rsidR="008A378A" w:rsidRPr="000314BF" w:rsidRDefault="008C12E6" w:rsidP="008A378A">
      <w:pPr>
        <w:autoSpaceDE w:val="0"/>
        <w:autoSpaceDN w:val="0"/>
        <w:adjustRightInd w:val="0"/>
        <w:spacing w:after="60"/>
        <w:ind w:left="709"/>
        <w:rPr>
          <w:rFonts w:ascii="Calibri" w:hAnsi="Calibri" w:cs="Tahoma"/>
        </w:rPr>
      </w:pPr>
      <w:r w:rsidRPr="000314BF">
        <w:rPr>
          <w:rFonts w:ascii="Calibri" w:hAnsi="Calibri" w:cs="Tahoma"/>
          <w:b/>
        </w:rPr>
        <w:t>Tabulka 1</w:t>
      </w:r>
      <w:r w:rsidR="005E7AD6">
        <w:rPr>
          <w:rFonts w:ascii="Calibri" w:hAnsi="Calibri" w:cs="Tahoma"/>
          <w:b/>
        </w:rPr>
        <w:t>8</w:t>
      </w:r>
      <w:r w:rsidRPr="000314BF">
        <w:rPr>
          <w:rFonts w:ascii="Calibri" w:hAnsi="Calibri" w:cs="Tahoma"/>
          <w:b/>
        </w:rPr>
        <w:t xml:space="preserve">: Celkový počet udělených registrací EMAS v období </w:t>
      </w:r>
      <w:r w:rsidR="00B8191B" w:rsidRPr="000314BF">
        <w:rPr>
          <w:rFonts w:ascii="Calibri" w:hAnsi="Calibri" w:cs="Tahoma"/>
          <w:b/>
        </w:rPr>
        <w:t>2019</w:t>
      </w:r>
      <w:r w:rsidR="00B8191B">
        <w:rPr>
          <w:rFonts w:ascii="Calibri" w:hAnsi="Calibri" w:cs="Tahoma"/>
          <w:b/>
        </w:rPr>
        <w:t>–2020</w:t>
      </w:r>
      <w:r w:rsidRPr="000314BF">
        <w:rPr>
          <w:rFonts w:ascii="Calibri" w:hAnsi="Calibri" w:cs="Tahoma"/>
          <w:b/>
        </w:rPr>
        <w:t xml:space="preserve"> </w:t>
      </w:r>
    </w:p>
    <w:tbl>
      <w:tblPr>
        <w:tblW w:w="8221" w:type="dxa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0"/>
        <w:gridCol w:w="2259"/>
        <w:gridCol w:w="3412"/>
      </w:tblGrid>
      <w:tr w:rsidR="007E5173" w:rsidTr="008A378A">
        <w:trPr>
          <w:trHeight w:val="461"/>
        </w:trPr>
        <w:tc>
          <w:tcPr>
            <w:tcW w:w="2550" w:type="dxa"/>
            <w:shd w:val="clear" w:color="auto" w:fill="auto"/>
            <w:vAlign w:val="center"/>
          </w:tcPr>
          <w:p w:rsidR="008A378A" w:rsidRPr="000314BF" w:rsidRDefault="008A378A" w:rsidP="00040F91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A378A" w:rsidRPr="000314BF" w:rsidRDefault="008C12E6" w:rsidP="00040F9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2"/>
              </w:rPr>
            </w:pPr>
            <w:r w:rsidRPr="000314BF">
              <w:rPr>
                <w:rFonts w:cs="Tahoma"/>
                <w:b/>
                <w:sz w:val="22"/>
              </w:rPr>
              <w:t>2019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8A378A" w:rsidRPr="000314BF" w:rsidRDefault="008C12E6" w:rsidP="00040F9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2"/>
              </w:rPr>
            </w:pPr>
            <w:r w:rsidRPr="000314BF">
              <w:rPr>
                <w:rFonts w:cs="Tahoma"/>
                <w:b/>
                <w:sz w:val="22"/>
              </w:rPr>
              <w:t>2020</w:t>
            </w:r>
          </w:p>
        </w:tc>
      </w:tr>
      <w:tr w:rsidR="007E5173" w:rsidTr="008A378A">
        <w:trPr>
          <w:trHeight w:val="412"/>
        </w:trPr>
        <w:tc>
          <w:tcPr>
            <w:tcW w:w="2550" w:type="dxa"/>
            <w:shd w:val="clear" w:color="auto" w:fill="auto"/>
            <w:vAlign w:val="center"/>
          </w:tcPr>
          <w:p w:rsidR="008A378A" w:rsidRPr="000314BF" w:rsidRDefault="008C12E6" w:rsidP="00040F91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</w:rPr>
            </w:pPr>
            <w:r w:rsidRPr="000314BF">
              <w:rPr>
                <w:rFonts w:cs="Tahoma"/>
                <w:b/>
                <w:sz w:val="22"/>
              </w:rPr>
              <w:t>EMAS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A378A" w:rsidRPr="000314BF" w:rsidRDefault="008C12E6" w:rsidP="00040F9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19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8A378A" w:rsidRPr="000314BF" w:rsidRDefault="008C12E6" w:rsidP="00040F9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</w:rPr>
            </w:pPr>
            <w:r w:rsidRPr="000314BF">
              <w:rPr>
                <w:rFonts w:cs="Tahoma"/>
                <w:sz w:val="22"/>
              </w:rPr>
              <w:t>20</w:t>
            </w:r>
          </w:p>
        </w:tc>
      </w:tr>
    </w:tbl>
    <w:p w:rsidR="008A378A" w:rsidRDefault="008C12E6" w:rsidP="008A378A">
      <w:pPr>
        <w:autoSpaceDE w:val="0"/>
        <w:autoSpaceDN w:val="0"/>
        <w:adjustRightInd w:val="0"/>
        <w:ind w:left="709"/>
        <w:rPr>
          <w:rFonts w:ascii="Calibri" w:hAnsi="Calibri" w:cs="Tahoma"/>
          <w:i/>
          <w:sz w:val="18"/>
          <w:szCs w:val="18"/>
        </w:rPr>
      </w:pPr>
      <w:r w:rsidRPr="000314BF">
        <w:rPr>
          <w:rFonts w:ascii="Calibri" w:hAnsi="Calibri" w:cs="Tahoma"/>
          <w:i/>
          <w:sz w:val="18"/>
          <w:szCs w:val="18"/>
        </w:rPr>
        <w:t>Zdroj: MŽP, 2019 (CENIA)</w:t>
      </w:r>
    </w:p>
    <w:p w:rsidR="008A378A" w:rsidRDefault="008A378A" w:rsidP="008A378A">
      <w:pPr>
        <w:autoSpaceDE w:val="0"/>
        <w:autoSpaceDN w:val="0"/>
        <w:adjustRightInd w:val="0"/>
        <w:ind w:left="709"/>
        <w:rPr>
          <w:rFonts w:ascii="Calibri" w:hAnsi="Calibri" w:cs="Tahoma"/>
          <w:i/>
          <w:szCs w:val="24"/>
        </w:rPr>
      </w:pPr>
    </w:p>
    <w:p w:rsidR="008A378A" w:rsidRPr="000314BF" w:rsidRDefault="008C12E6" w:rsidP="008A378A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t xml:space="preserve">Aktivity Ministerstva zemědělství v oblasti předcházení vzniku potravinového odpadu </w:t>
      </w:r>
    </w:p>
    <w:p w:rsidR="008A378A" w:rsidRPr="000314BF" w:rsidRDefault="008C12E6" w:rsidP="008A378A">
      <w:pPr>
        <w:spacing w:before="120" w:after="120" w:line="276" w:lineRule="auto"/>
        <w:ind w:left="709"/>
        <w:rPr>
          <w:rFonts w:cstheme="minorHAnsi"/>
          <w:bCs/>
        </w:rPr>
      </w:pPr>
      <w:r w:rsidRPr="000314BF">
        <w:rPr>
          <w:rFonts w:cstheme="minorHAnsi"/>
          <w:bCs/>
        </w:rPr>
        <w:t>Ministerstvo zemědělství v rámci dotačního</w:t>
      </w:r>
      <w:r w:rsidRPr="000314BF">
        <w:rPr>
          <w:rFonts w:cstheme="minorHAnsi"/>
        </w:rPr>
        <w:t xml:space="preserve"> </w:t>
      </w:r>
      <w:r w:rsidRPr="000314BF">
        <w:rPr>
          <w:rFonts w:cstheme="minorHAnsi"/>
          <w:bCs/>
        </w:rPr>
        <w:t xml:space="preserve">programu </w:t>
      </w:r>
      <w:r w:rsidRPr="000314BF">
        <w:rPr>
          <w:rFonts w:cstheme="minorHAnsi"/>
          <w:bCs/>
          <w:i/>
        </w:rPr>
        <w:t xml:space="preserve">„Podpora činnosti potravinových bank a dalších subjektů s humanitárním zaměřením“ </w:t>
      </w:r>
      <w:r w:rsidRPr="000314BF">
        <w:rPr>
          <w:rFonts w:cstheme="minorHAnsi"/>
          <w:bCs/>
        </w:rPr>
        <w:t>podporuje n</w:t>
      </w:r>
      <w:r w:rsidRPr="000314BF">
        <w:rPr>
          <w:rFonts w:cstheme="minorHAnsi"/>
          <w:bCs/>
        </w:rPr>
        <w:t>apř.  financování pronájmů skladovacích prostor, rekonstrukci a budování nových skladovacích prostor a jejich vybavení chladicím a mrazicím zařízením, včetně režijních nákladů na chod potravinových bank. Dotace lze využít také na pořízení automobilu pro sv</w:t>
      </w:r>
      <w:r w:rsidRPr="000314BF">
        <w:rPr>
          <w:rFonts w:cstheme="minorHAnsi"/>
          <w:bCs/>
        </w:rPr>
        <w:t xml:space="preserve">oz darovaných potravin. </w:t>
      </w:r>
    </w:p>
    <w:p w:rsidR="008A378A" w:rsidRPr="000314BF" w:rsidRDefault="008C12E6" w:rsidP="008A378A">
      <w:pPr>
        <w:spacing w:before="120" w:after="120" w:line="276" w:lineRule="auto"/>
        <w:ind w:left="709"/>
        <w:rPr>
          <w:rFonts w:cstheme="minorHAnsi"/>
        </w:rPr>
      </w:pPr>
      <w:r w:rsidRPr="000314BF">
        <w:rPr>
          <w:rFonts w:cstheme="minorHAnsi"/>
          <w:bCs/>
        </w:rPr>
        <w:t>V roce 2019 bylo v rámci dotačního titulu vyplaceno více než 116 milionů korun a</w:t>
      </w:r>
      <w:r w:rsidR="00611D09" w:rsidRPr="000314BF">
        <w:rPr>
          <w:rFonts w:cstheme="minorHAnsi"/>
          <w:bCs/>
        </w:rPr>
        <w:t> </w:t>
      </w:r>
      <w:r w:rsidRPr="000314BF">
        <w:rPr>
          <w:rFonts w:cstheme="minorHAnsi"/>
          <w:bCs/>
        </w:rPr>
        <w:t xml:space="preserve">v roce 2020 téměř 95 milionů korun. </w:t>
      </w:r>
      <w:r w:rsidRPr="000314BF">
        <w:rPr>
          <w:rFonts w:cstheme="minorHAnsi"/>
        </w:rPr>
        <w:t xml:space="preserve">V současné době se jedná o jedinou stálou podporu Potravinových bank ze státního rozpočtu. </w:t>
      </w:r>
    </w:p>
    <w:p w:rsidR="008A378A" w:rsidRPr="000314BF" w:rsidRDefault="008C12E6" w:rsidP="008A378A">
      <w:pPr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Pro potřeby ČR připravil </w:t>
      </w:r>
      <w:r w:rsidRPr="000314BF">
        <w:rPr>
          <w:rFonts w:cstheme="minorHAnsi"/>
          <w:iCs/>
        </w:rPr>
        <w:t>Ústav zemědělské ekonomiky a informací</w:t>
      </w:r>
      <w:r w:rsidRPr="000314BF">
        <w:rPr>
          <w:rFonts w:cstheme="minorHAnsi"/>
        </w:rPr>
        <w:t xml:space="preserve"> (</w:t>
      </w:r>
      <w:r w:rsidRPr="000314BF">
        <w:rPr>
          <w:rFonts w:cstheme="minorHAnsi"/>
          <w:iCs/>
        </w:rPr>
        <w:t>ÚZEI)</w:t>
      </w:r>
      <w:r w:rsidR="00261EFB" w:rsidRPr="000314BF">
        <w:rPr>
          <w:rFonts w:cstheme="minorHAnsi"/>
          <w:iCs/>
        </w:rPr>
        <w:t xml:space="preserve"> metodiku ke potravinovým ztrátám </w:t>
      </w:r>
      <w:r w:rsidRPr="000314BF">
        <w:rPr>
          <w:rFonts w:cstheme="minorHAnsi"/>
        </w:rPr>
        <w:t>pro jednotlivé články potravinového řetězce a od roku 2017 také průběžně monitoruje potravinový řetězec</w:t>
      </w:r>
      <w:r w:rsidR="00261EFB" w:rsidRPr="000314BF">
        <w:rPr>
          <w:rFonts w:cstheme="minorHAnsi"/>
        </w:rPr>
        <w:t>.</w:t>
      </w:r>
      <w:r w:rsidRPr="000314BF">
        <w:rPr>
          <w:rFonts w:cstheme="minorHAnsi"/>
        </w:rPr>
        <w:t xml:space="preserve"> </w:t>
      </w:r>
    </w:p>
    <w:p w:rsidR="008A378A" w:rsidRPr="000314BF" w:rsidRDefault="008C12E6" w:rsidP="008A378A">
      <w:pPr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bCs/>
        </w:rPr>
      </w:pPr>
      <w:proofErr w:type="spellStart"/>
      <w:r w:rsidRPr="000314BF">
        <w:rPr>
          <w:rFonts w:cstheme="minorHAnsi"/>
        </w:rPr>
        <w:t>MZe</w:t>
      </w:r>
      <w:proofErr w:type="spellEnd"/>
      <w:r w:rsidRPr="000314BF">
        <w:rPr>
          <w:rFonts w:cstheme="minorHAnsi"/>
        </w:rPr>
        <w:t xml:space="preserve"> obecně podporuje předcházení vzniku </w:t>
      </w:r>
      <w:r w:rsidRPr="000314BF">
        <w:rPr>
          <w:rFonts w:cstheme="minorHAnsi"/>
        </w:rPr>
        <w:t>potravinového odpadu a plýtvání potravinami, stejně tak darování potravin. Z</w:t>
      </w:r>
      <w:r w:rsidRPr="000314BF">
        <w:rPr>
          <w:rFonts w:cstheme="minorHAnsi"/>
          <w:bCs/>
        </w:rPr>
        <w:t>veřejňuje také seznam organizací, kterým mohou obchody darovat vyřazené potraviny.</w:t>
      </w:r>
    </w:p>
    <w:p w:rsidR="008A378A" w:rsidRPr="000314BF" w:rsidRDefault="008C12E6" w:rsidP="008A378A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rPr>
          <w:rFonts w:cstheme="minorHAnsi"/>
          <w:b/>
          <w:bCs/>
          <w:u w:val="single"/>
        </w:rPr>
      </w:pPr>
      <w:r w:rsidRPr="000314BF">
        <w:rPr>
          <w:rFonts w:cstheme="minorHAnsi"/>
          <w:b/>
          <w:bCs/>
          <w:u w:val="single"/>
        </w:rPr>
        <w:t>Potravinové banky</w:t>
      </w:r>
    </w:p>
    <w:p w:rsidR="008A378A" w:rsidRPr="000314BF" w:rsidRDefault="008C12E6" w:rsidP="008A378A">
      <w:pPr>
        <w:spacing w:after="120" w:line="276" w:lineRule="auto"/>
        <w:ind w:left="709"/>
        <w:rPr>
          <w:rFonts w:cstheme="minorHAnsi"/>
          <w:bCs/>
        </w:rPr>
      </w:pPr>
      <w:r w:rsidRPr="000314BF">
        <w:rPr>
          <w:rFonts w:cstheme="minorHAnsi"/>
        </w:rPr>
        <w:t>Předávání potravin charitativním organizacím je upraveno zákonem č. 110/1997 Sb</w:t>
      </w:r>
      <w:r w:rsidRPr="000314BF">
        <w:rPr>
          <w:rFonts w:cstheme="minorHAnsi"/>
        </w:rPr>
        <w:t>., o potravinách a tabákových výrobcích. Novelou tohoto zákona je od roku 2018 uložena obchodům s prodejní plochou větší než 400 m2 povinnost bezplatně poskytovat neprodejné, ale stále bezpečné potraviny, na charitu. Darovat potraviny, které nejsou zcela v</w:t>
      </w:r>
      <w:r w:rsidRPr="000314BF">
        <w:rPr>
          <w:rFonts w:cstheme="minorHAnsi"/>
        </w:rPr>
        <w:t xml:space="preserve"> souladu s potravinovým právem (např. potraviny s deformovaným obalem nebo potraviny, které jsou nepřesně či nedostatečně označeny) mohou samozřejmě i menší obchody či výrobci.</w:t>
      </w:r>
      <w:r w:rsidRPr="000314BF">
        <w:rPr>
          <w:rFonts w:cstheme="minorHAnsi"/>
          <w:bCs/>
        </w:rPr>
        <w:t xml:space="preserve"> S legislativními změnami spojenými s nástupem povinnosti darování potravin došl</w:t>
      </w:r>
      <w:r w:rsidRPr="000314BF">
        <w:rPr>
          <w:rFonts w:cstheme="minorHAnsi"/>
          <w:bCs/>
        </w:rPr>
        <w:t xml:space="preserve">o k výraznému nárůstu darovaných potravin a poklesu vzniku potravinového odpadu v sektoru obchodu. </w:t>
      </w:r>
    </w:p>
    <w:p w:rsidR="008A378A" w:rsidRPr="000314BF" w:rsidRDefault="008C12E6" w:rsidP="008A378A">
      <w:pPr>
        <w:spacing w:after="120" w:line="276" w:lineRule="auto"/>
        <w:ind w:left="709"/>
        <w:rPr>
          <w:rStyle w:val="Hypertextovodkaz"/>
          <w:rFonts w:cstheme="minorHAnsi"/>
          <w:bCs/>
          <w:color w:val="auto"/>
        </w:rPr>
      </w:pPr>
      <w:r w:rsidRPr="000314BF">
        <w:rPr>
          <w:rFonts w:cstheme="minorHAnsi"/>
        </w:rPr>
        <w:lastRenderedPageBreak/>
        <w:t>Potravinové banky jsou fungující strukturou pro snižování vzniku odpadů z potravin a zlepšující celkové využívání potravin, které by se jinak staly odpadem.</w:t>
      </w:r>
      <w:r w:rsidRPr="000314BF">
        <w:rPr>
          <w:rFonts w:cstheme="minorHAnsi"/>
        </w:rPr>
        <w:t xml:space="preserve"> Centrálně jsou jednotlivé potravinové banky součástí České federace potravinových bank (ČFPB). ČFPB je pak členem Evropské federace potravinových bank. Potravinové banky shromažďují zdarma potraviny, skladují a přidělují je humanitárním nebo charitativním</w:t>
      </w:r>
      <w:r w:rsidRPr="000314BF">
        <w:rPr>
          <w:rFonts w:cstheme="minorHAnsi"/>
        </w:rPr>
        <w:t xml:space="preserve"> organizacím, které poskytují potravinovou pomoc potřebným lidem. Česká federace potravinových bank -</w:t>
      </w:r>
      <w:r w:rsidRPr="000314BF">
        <w:rPr>
          <w:rFonts w:cstheme="minorHAnsi"/>
          <w:bCs/>
        </w:rPr>
        <w:t xml:space="preserve"> </w:t>
      </w:r>
      <w:hyperlink r:id="rId43" w:history="1">
        <w:r w:rsidRPr="000314BF">
          <w:rPr>
            <w:rStyle w:val="Hypertextovodkaz"/>
            <w:rFonts w:cstheme="minorHAnsi"/>
            <w:bCs/>
          </w:rPr>
          <w:t>www.potravinovabanka.cz</w:t>
        </w:r>
      </w:hyperlink>
      <w:r w:rsidRPr="000314BF">
        <w:rPr>
          <w:rFonts w:cstheme="minorHAnsi"/>
          <w:bCs/>
        </w:rPr>
        <w:t xml:space="preserve"> má v </w:t>
      </w:r>
      <w:r w:rsidRPr="000314BF">
        <w:rPr>
          <w:rStyle w:val="Hypertextovodkaz"/>
          <w:rFonts w:cstheme="minorHAnsi"/>
          <w:bCs/>
          <w:color w:val="auto"/>
        </w:rPr>
        <w:t>současnosti celkem 15 členů: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pro Brno a Jihomoravský kraj, </w:t>
      </w:r>
      <w:proofErr w:type="spellStart"/>
      <w:r w:rsidRPr="000314BF">
        <w:rPr>
          <w:rFonts w:cstheme="minorHAnsi"/>
        </w:rPr>
        <w:t>z</w:t>
      </w:r>
      <w:r w:rsidRPr="000314BF">
        <w:rPr>
          <w:rFonts w:cstheme="minorHAnsi"/>
        </w:rPr>
        <w:t>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</w:t>
      </w:r>
      <w:proofErr w:type="spellStart"/>
      <w:r w:rsidRPr="000314BF">
        <w:rPr>
          <w:rFonts w:cstheme="minorHAnsi"/>
        </w:rPr>
        <w:t>Central</w:t>
      </w:r>
      <w:proofErr w:type="spellEnd"/>
      <w:r w:rsidRPr="000314BF">
        <w:rPr>
          <w:rFonts w:cstheme="minorHAnsi"/>
        </w:rPr>
        <w:t xml:space="preserve">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</w:t>
      </w:r>
      <w:proofErr w:type="spellStart"/>
      <w:r w:rsidRPr="000314BF">
        <w:rPr>
          <w:rFonts w:cstheme="minorHAnsi"/>
        </w:rPr>
        <w:t>Džbánsko</w:t>
      </w:r>
      <w:proofErr w:type="spellEnd"/>
      <w:r w:rsidRPr="000314BF">
        <w:rPr>
          <w:rFonts w:cstheme="minorHAnsi"/>
        </w:rPr>
        <w:t xml:space="preserve">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Hradec Králové,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Jihočeského kraje,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Karlovarského kraje,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Libereckého kraje,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v </w:t>
      </w:r>
      <w:r w:rsidRPr="000314BF">
        <w:rPr>
          <w:rFonts w:cstheme="minorHAnsi"/>
        </w:rPr>
        <w:t xml:space="preserve">Olomouckém kraji,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Ostrava,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Potravinová banka Pardubice, z. s.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Plzeň,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pro Prahu a Středočeský kraj,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spacing w:before="60" w:after="60"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Potravinová banka v Ústeckém kraji,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</w:t>
      </w:r>
    </w:p>
    <w:p w:rsidR="008A378A" w:rsidRPr="000314BF" w:rsidRDefault="008C12E6" w:rsidP="008A378A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MŽP poskytuje podporu Potravinovým bankám </w:t>
      </w:r>
      <w:r w:rsidRPr="000314BF">
        <w:rPr>
          <w:rFonts w:cstheme="minorHAnsi"/>
        </w:rPr>
        <w:t xml:space="preserve">prostřednictvím OPŽP </w:t>
      </w:r>
      <w:r w:rsidR="00B8191B" w:rsidRPr="000314BF">
        <w:rPr>
          <w:rFonts w:cstheme="minorHAnsi"/>
        </w:rPr>
        <w:t>2014–2020</w:t>
      </w:r>
      <w:r w:rsidRPr="000314BF">
        <w:rPr>
          <w:rFonts w:cstheme="minorHAnsi"/>
        </w:rPr>
        <w:t>. V</w:t>
      </w:r>
      <w:r w:rsidR="00A576B7" w:rsidRPr="000314BF">
        <w:rPr>
          <w:rFonts w:cstheme="minorHAnsi"/>
        </w:rPr>
        <w:t> </w:t>
      </w:r>
      <w:r w:rsidRPr="000314BF">
        <w:rPr>
          <w:rFonts w:cstheme="minorHAnsi"/>
        </w:rPr>
        <w:t xml:space="preserve">rámci prioritní osy 3, investiční podpory 1, Specifického cíle 3.1. byla </w:t>
      </w:r>
      <w:r w:rsidR="00A576B7" w:rsidRPr="000314BF">
        <w:rPr>
          <w:rFonts w:cstheme="minorHAnsi"/>
        </w:rPr>
        <w:t xml:space="preserve">již </w:t>
      </w:r>
      <w:r w:rsidRPr="000314BF">
        <w:rPr>
          <w:rFonts w:cstheme="minorHAnsi"/>
        </w:rPr>
        <w:t xml:space="preserve">koncem roku 2018 vyhlášena 103. výzva, podporující projekty zaměřené na vybudování či rozšíření infrastruktury potravinových bank (např. </w:t>
      </w:r>
      <w:r w:rsidRPr="000314BF">
        <w:rPr>
          <w:rFonts w:cstheme="minorHAnsi"/>
        </w:rPr>
        <w:t>budování, rekonstrukci skladů potravin; nákup svozové a manipulační techniky; pořízení vybavení skladů potravin). Od</w:t>
      </w:r>
      <w:r w:rsidR="00A576B7" w:rsidRPr="000314BF">
        <w:rPr>
          <w:rFonts w:cstheme="minorHAnsi"/>
        </w:rPr>
        <w:t> </w:t>
      </w:r>
      <w:r w:rsidRPr="000314BF">
        <w:rPr>
          <w:rFonts w:cstheme="minorHAnsi"/>
        </w:rPr>
        <w:t>1.</w:t>
      </w:r>
      <w:r w:rsidR="00A576B7" w:rsidRPr="000314BF">
        <w:rPr>
          <w:rFonts w:cstheme="minorHAnsi"/>
        </w:rPr>
        <w:t> </w:t>
      </w:r>
      <w:r w:rsidRPr="000314BF">
        <w:rPr>
          <w:rFonts w:cstheme="minorHAnsi"/>
        </w:rPr>
        <w:t>9.</w:t>
      </w:r>
      <w:r w:rsidR="00A576B7" w:rsidRPr="000314BF">
        <w:rPr>
          <w:rFonts w:cstheme="minorHAnsi"/>
        </w:rPr>
        <w:t> </w:t>
      </w:r>
      <w:r w:rsidRPr="000314BF">
        <w:rPr>
          <w:rFonts w:cstheme="minorHAnsi"/>
        </w:rPr>
        <w:t xml:space="preserve">2020 začal příjem žádostí pro další výzvou č. 153, která v rámci podporované aktivity 3.1.1: „Předcházení vzniku komunálních odpadů“ </w:t>
      </w:r>
      <w:r w:rsidRPr="000314BF">
        <w:rPr>
          <w:rFonts w:cstheme="minorHAnsi"/>
        </w:rPr>
        <w:t xml:space="preserve">opět finančně přispívala na vybudování či rozšíření infrastruktury potravinových bank. Oprávněnými žadateli byly subjekty, které byly v době podání žádosti členy České federace potravinových bank nebo sdružení Charita Česká republika. Žádosti mohla rovněž </w:t>
      </w:r>
      <w:r w:rsidRPr="000314BF">
        <w:rPr>
          <w:rFonts w:cstheme="minorHAnsi"/>
        </w:rPr>
        <w:t>předkládat samotná Česká federace potravinových bank a sdružení charita Česká republika.</w:t>
      </w:r>
    </w:p>
    <w:p w:rsidR="008A378A" w:rsidRPr="000314BF" w:rsidRDefault="008C12E6" w:rsidP="008A378A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 xml:space="preserve">V rámci 103. výzvy poskytlo MŽP dotaci jednomu subjektu na projekt zaměřený na vybudování/rozšíření infrastruktury potravinových bank ve výši 952 428 Kč. </w:t>
      </w:r>
    </w:p>
    <w:p w:rsidR="008A378A" w:rsidRPr="000314BF" w:rsidRDefault="008C12E6" w:rsidP="008A378A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  <w:r w:rsidRPr="000314BF">
        <w:rPr>
          <w:rFonts w:cstheme="minorHAnsi"/>
        </w:rPr>
        <w:t>V rámci 153.</w:t>
      </w:r>
      <w:r w:rsidRPr="000314BF">
        <w:rPr>
          <w:rFonts w:cstheme="minorHAnsi"/>
        </w:rPr>
        <w:t xml:space="preserve"> výzvy poskytlo MŽP podporu šesti projektům v hodnotě zhruba 162</w:t>
      </w:r>
      <w:r w:rsidR="00B8191B">
        <w:rPr>
          <w:rFonts w:cstheme="minorHAnsi"/>
        </w:rPr>
        <w:t> </w:t>
      </w:r>
      <w:r w:rsidRPr="000314BF">
        <w:rPr>
          <w:rFonts w:cstheme="minorHAnsi"/>
        </w:rPr>
        <w:t>mil.</w:t>
      </w:r>
      <w:r w:rsidR="00B8191B">
        <w:rPr>
          <w:rFonts w:cstheme="minorHAnsi"/>
        </w:rPr>
        <w:t> </w:t>
      </w:r>
      <w:r w:rsidRPr="000314BF">
        <w:rPr>
          <w:rFonts w:cstheme="minorHAnsi"/>
        </w:rPr>
        <w:t>Kč.</w:t>
      </w:r>
    </w:p>
    <w:p w:rsidR="005951D4" w:rsidRDefault="005951D4" w:rsidP="008A378A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</w:p>
    <w:p w:rsidR="00454D84" w:rsidRPr="000314BF" w:rsidRDefault="00454D84" w:rsidP="008A378A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</w:p>
    <w:p w:rsidR="005B5CFF" w:rsidRPr="000314BF" w:rsidRDefault="008C12E6" w:rsidP="005B5CFF">
      <w:pPr>
        <w:autoSpaceDE w:val="0"/>
        <w:autoSpaceDN w:val="0"/>
        <w:adjustRightInd w:val="0"/>
        <w:spacing w:after="120" w:line="276" w:lineRule="auto"/>
        <w:ind w:left="709"/>
        <w:rPr>
          <w:rFonts w:cstheme="minorHAnsi"/>
          <w:bCs/>
          <w:u w:val="single"/>
        </w:rPr>
      </w:pPr>
      <w:r w:rsidRPr="000314BF">
        <w:rPr>
          <w:rFonts w:cstheme="minorHAnsi"/>
          <w:b/>
          <w:bCs/>
          <w:u w:val="single"/>
        </w:rPr>
        <w:lastRenderedPageBreak/>
        <w:t>Další aktivity směřující k prevenci vzniku odpadů</w:t>
      </w:r>
    </w:p>
    <w:p w:rsidR="005B5CFF" w:rsidRPr="000314BF" w:rsidRDefault="008C12E6" w:rsidP="005B5CFF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0314BF">
        <w:rPr>
          <w:rFonts w:cstheme="minorHAnsi"/>
          <w:b/>
          <w:bCs/>
        </w:rPr>
        <w:t xml:space="preserve">Prodej nestandardní zeleniny a ovoce </w:t>
      </w:r>
      <w:r w:rsidRPr="000314BF">
        <w:rPr>
          <w:rFonts w:cstheme="minorHAnsi"/>
          <w:bCs/>
        </w:rPr>
        <w:t xml:space="preserve">– nadále pokračují aktivity některých velkých obchodních společností v oblasti prodeje ovoce </w:t>
      </w:r>
      <w:r w:rsidRPr="000314BF">
        <w:rPr>
          <w:rFonts w:cstheme="minorHAnsi"/>
          <w:bCs/>
        </w:rPr>
        <w:t xml:space="preserve">a zeleniny, který je zaměřen na zvýhodněný prodej zeleniny, která má nestandardní tvar nebo velikost. Tímto způsobem se dostane ke spotřebitelům i zelenina, která by byla pravděpodobně zaorána do země. </w:t>
      </w:r>
      <w:r w:rsidRPr="000314BF">
        <w:rPr>
          <w:rFonts w:cstheme="minorHAnsi"/>
        </w:rPr>
        <w:t>Tesco a.s. např. rozšířilo svou nabídku ovoce a zeleni</w:t>
      </w:r>
      <w:r w:rsidRPr="000314BF">
        <w:rPr>
          <w:rFonts w:cstheme="minorHAnsi"/>
        </w:rPr>
        <w:t xml:space="preserve">ny o nově zavedenou vlastní značku </w:t>
      </w:r>
      <w:r w:rsidRPr="000314BF">
        <w:rPr>
          <w:rFonts w:cstheme="minorHAnsi"/>
          <w:b/>
          <w:i/>
        </w:rPr>
        <w:t>„</w:t>
      </w:r>
      <w:proofErr w:type="spellStart"/>
      <w:r w:rsidRPr="000314BF">
        <w:rPr>
          <w:rFonts w:cstheme="minorHAnsi"/>
          <w:b/>
          <w:i/>
        </w:rPr>
        <w:t>Perfectly</w:t>
      </w:r>
      <w:proofErr w:type="spellEnd"/>
      <w:r w:rsidRPr="000314BF">
        <w:rPr>
          <w:rFonts w:cstheme="minorHAnsi"/>
          <w:b/>
          <w:i/>
        </w:rPr>
        <w:t xml:space="preserve"> </w:t>
      </w:r>
      <w:proofErr w:type="spellStart"/>
      <w:r w:rsidRPr="000314BF">
        <w:rPr>
          <w:rFonts w:cstheme="minorHAnsi"/>
          <w:b/>
          <w:i/>
        </w:rPr>
        <w:t>Imperfect</w:t>
      </w:r>
      <w:proofErr w:type="spellEnd"/>
      <w:r w:rsidRPr="000314BF">
        <w:rPr>
          <w:rFonts w:cstheme="minorHAnsi"/>
          <w:b/>
          <w:i/>
        </w:rPr>
        <w:t>“</w:t>
      </w:r>
      <w:r w:rsidRPr="000314BF">
        <w:rPr>
          <w:rFonts w:cstheme="minorHAnsi"/>
        </w:rPr>
        <w:t xml:space="preserve"> („Dokonale Nedokonalá“). Online supermarket Rohlík.cz opět spustil prodej nestandardních tvarů ovoce a zeleniny pod značkou </w:t>
      </w:r>
      <w:r w:rsidRPr="000314BF">
        <w:rPr>
          <w:rFonts w:cstheme="minorHAnsi"/>
          <w:b/>
          <w:i/>
        </w:rPr>
        <w:t>"Ošklivé" ovoce a zelenina</w:t>
      </w:r>
      <w:r w:rsidRPr="000314BF">
        <w:rPr>
          <w:rFonts w:cstheme="minorHAnsi"/>
        </w:rPr>
        <w:t>. Dále ve snaze snížit plýtvání potravinami nabíz</w:t>
      </w:r>
      <w:r w:rsidRPr="000314BF">
        <w:rPr>
          <w:rFonts w:cstheme="minorHAnsi"/>
        </w:rPr>
        <w:t>í prodej „Zachraň jídlo, kdy jsou produkty s blízkou expirační dobou nabízeny za výrazně nižší ceny.</w:t>
      </w:r>
    </w:p>
    <w:p w:rsidR="005B5CFF" w:rsidRPr="000314BF" w:rsidRDefault="008C12E6" w:rsidP="005B5CFF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0314BF">
        <w:rPr>
          <w:rFonts w:cstheme="minorHAnsi"/>
          <w:b/>
        </w:rPr>
        <w:t xml:space="preserve">Projekt </w:t>
      </w:r>
      <w:r w:rsidRPr="000314BF">
        <w:rPr>
          <w:rFonts w:cstheme="minorHAnsi"/>
          <w:b/>
          <w:i/>
        </w:rPr>
        <w:t>„Darování jídla šetří klima“</w:t>
      </w:r>
      <w:r w:rsidRPr="000314BF">
        <w:rPr>
          <w:rFonts w:cstheme="minorHAnsi"/>
        </w:rPr>
        <w:t xml:space="preserve"> je projektem spolku Zachraň Jídlo,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., spuštěný v dubnu 2020 k využití přebytků z českých jídelen a fast foodů pro d</w:t>
      </w:r>
      <w:r w:rsidRPr="000314BF">
        <w:rPr>
          <w:rFonts w:cstheme="minorHAnsi"/>
        </w:rPr>
        <w:t>arování potřebným. Snahou je zamezit plýtvání jídlem a snížit tak jeho dopady na životní prostředí.</w:t>
      </w:r>
    </w:p>
    <w:p w:rsidR="005B5CFF" w:rsidRPr="000314BF" w:rsidRDefault="008C12E6" w:rsidP="005B5CFF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0314BF">
        <w:rPr>
          <w:rFonts w:cstheme="minorHAnsi"/>
          <w:b/>
        </w:rPr>
        <w:t>Projekt</w:t>
      </w:r>
      <w:r w:rsidRPr="000314BF">
        <w:rPr>
          <w:rFonts w:cstheme="minorHAnsi"/>
          <w:b/>
          <w:i/>
        </w:rPr>
        <w:t xml:space="preserve"> „Redukce plýtvání potravinami ve veřejném stravování“</w:t>
      </w:r>
      <w:r w:rsidRPr="000314BF">
        <w:rPr>
          <w:rFonts w:cstheme="minorHAnsi"/>
        </w:rPr>
        <w:t xml:space="preserve"> je projektem spolku Zachraň Jídlo,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., při němž bylo zjišťováno, jak moc se plýtvá ve veřejn</w:t>
      </w:r>
      <w:r w:rsidRPr="000314BF">
        <w:rPr>
          <w:rFonts w:cstheme="minorHAnsi"/>
        </w:rPr>
        <w:t xml:space="preserve">ém stravování, jak se tomu dá zamezit a jak lze případné přebytky vhodně využít. Výzkum byl realizován společně s Technologickým centrem Akademie věd, společností </w:t>
      </w:r>
      <w:proofErr w:type="spellStart"/>
      <w:r w:rsidRPr="000314BF">
        <w:rPr>
          <w:rFonts w:cstheme="minorHAnsi"/>
        </w:rPr>
        <w:t>Median</w:t>
      </w:r>
      <w:proofErr w:type="spellEnd"/>
      <w:r w:rsidRPr="000314BF">
        <w:rPr>
          <w:rFonts w:cstheme="minorHAnsi"/>
        </w:rPr>
        <w:t xml:space="preserve"> a Ústavem zemědělské ekonomiky a informací v rámci grantu TAČR.</w:t>
      </w:r>
    </w:p>
    <w:p w:rsidR="005B5CFF" w:rsidRPr="000314BF" w:rsidRDefault="008C12E6" w:rsidP="002D5BF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0314BF">
        <w:rPr>
          <w:rFonts w:cstheme="minorHAnsi"/>
          <w:b/>
        </w:rPr>
        <w:t xml:space="preserve">Projekt </w:t>
      </w:r>
      <w:r w:rsidRPr="000314BF">
        <w:rPr>
          <w:rFonts w:cstheme="minorHAnsi"/>
          <w:b/>
          <w:i/>
        </w:rPr>
        <w:t>„Paběrkujeme v</w:t>
      </w:r>
      <w:r w:rsidRPr="000314BF">
        <w:rPr>
          <w:rFonts w:cstheme="minorHAnsi"/>
          <w:b/>
          <w:i/>
        </w:rPr>
        <w:t xml:space="preserve"> regionech“</w:t>
      </w:r>
      <w:r w:rsidRPr="000314BF">
        <w:rPr>
          <w:rFonts w:cstheme="minorHAnsi"/>
        </w:rPr>
        <w:t xml:space="preserve"> spolku Zachraň Jídlo, 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., - jedná se o aktivitu, která snižuje množství vyhozeného jídla. Sbírají se plodiny, které by zůstaly po sklizni na poli nebo sadu. Tyto plodiny většinou nevyhovují z estetického hlediska, jsou příliš malé, příliš vel</w:t>
      </w:r>
      <w:r w:rsidRPr="000314BF">
        <w:rPr>
          <w:rFonts w:cstheme="minorHAnsi"/>
        </w:rPr>
        <w:t xml:space="preserve">iké, příliš křivé, špatně uříznuté nebo mají nevyhovující barvu. Paběrkování je také nástrojem osvěty, protože vzhledem k velkému zájmu médií se daří upozorňovat veřejnost na problém plýtvání potravinami. </w:t>
      </w:r>
    </w:p>
    <w:p w:rsidR="005B5CFF" w:rsidRPr="000314BF" w:rsidRDefault="008C12E6" w:rsidP="002D5BF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0314BF">
        <w:rPr>
          <w:rFonts w:cstheme="minorHAnsi"/>
          <w:b/>
        </w:rPr>
        <w:t>Projekt „</w:t>
      </w:r>
      <w:proofErr w:type="spellStart"/>
      <w:r w:rsidRPr="000314BF">
        <w:rPr>
          <w:rFonts w:cstheme="minorHAnsi"/>
          <w:b/>
        </w:rPr>
        <w:t>DobroPolníci</w:t>
      </w:r>
      <w:proofErr w:type="spellEnd"/>
      <w:r w:rsidRPr="000314BF">
        <w:rPr>
          <w:rFonts w:cstheme="minorHAnsi"/>
          <w:b/>
        </w:rPr>
        <w:t xml:space="preserve">“ </w:t>
      </w:r>
      <w:r w:rsidRPr="000314BF">
        <w:rPr>
          <w:rFonts w:cstheme="minorHAnsi"/>
        </w:rPr>
        <w:t xml:space="preserve">prezentovaný na webu </w:t>
      </w:r>
      <w:hyperlink r:id="rId44" w:history="1">
        <w:r w:rsidRPr="000314BF">
          <w:rPr>
            <w:rStyle w:val="Hypertextovodkaz"/>
            <w:rFonts w:cstheme="minorHAnsi"/>
          </w:rPr>
          <w:t>https://dobropolnici.mailchimpsites.com/</w:t>
        </w:r>
      </w:hyperlink>
      <w:r w:rsidRPr="000314BF">
        <w:rPr>
          <w:rFonts w:cstheme="minorHAnsi"/>
          <w:b/>
        </w:rPr>
        <w:t xml:space="preserve"> </w:t>
      </w:r>
      <w:r w:rsidRPr="000314BF">
        <w:rPr>
          <w:rFonts w:cstheme="minorHAnsi"/>
        </w:rPr>
        <w:t>navázal od roku 2020 na aktivity paběrkování v regionech, Spolek Zachraň Jídlo, </w:t>
      </w:r>
      <w:proofErr w:type="spellStart"/>
      <w:r w:rsidRPr="000314BF">
        <w:rPr>
          <w:rFonts w:cstheme="minorHAnsi"/>
        </w:rPr>
        <w:t>z.s</w:t>
      </w:r>
      <w:proofErr w:type="spellEnd"/>
      <w:r w:rsidRPr="000314BF">
        <w:rPr>
          <w:rFonts w:cstheme="minorHAnsi"/>
        </w:rPr>
        <w:t>., jej podporuje poskytováním příspěvku na palivo.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bCs/>
        </w:rPr>
      </w:pPr>
      <w:r w:rsidRPr="000314BF">
        <w:rPr>
          <w:rFonts w:cstheme="minorHAnsi"/>
        </w:rPr>
        <w:t xml:space="preserve"> </w:t>
      </w:r>
      <w:r w:rsidRPr="000314BF">
        <w:rPr>
          <w:rFonts w:cstheme="minorHAnsi"/>
          <w:b/>
        </w:rPr>
        <w:t>„Cirkulární HUB“</w:t>
      </w:r>
      <w:r w:rsidRPr="000314BF">
        <w:rPr>
          <w:rFonts w:cstheme="minorHAnsi"/>
        </w:rPr>
        <w:t xml:space="preserve"> - Cirkulární HUB vznikl v rámci projektu “ODPAD ZDROJEM”, jehož realizátorem je podnikatelské a inovační centrum BIC Brno ve spolupráci s Institutem Cirkulární Ekonomiky a Aliancí pro energetickou soběstačnost. Projekt finančně podpořil TAČR.  </w:t>
      </w:r>
      <w:r w:rsidRPr="000314BF">
        <w:rPr>
          <w:rFonts w:cstheme="minorHAnsi"/>
          <w:bCs/>
        </w:rPr>
        <w:t xml:space="preserve"> Cirkulární</w:t>
      </w:r>
      <w:r w:rsidRPr="000314BF">
        <w:rPr>
          <w:rFonts w:cstheme="minorHAnsi"/>
          <w:bCs/>
        </w:rPr>
        <w:t xml:space="preserve">m </w:t>
      </w:r>
      <w:proofErr w:type="spellStart"/>
      <w:r w:rsidRPr="000314BF">
        <w:rPr>
          <w:rFonts w:cstheme="minorHAnsi"/>
          <w:bCs/>
        </w:rPr>
        <w:t>HUBu</w:t>
      </w:r>
      <w:proofErr w:type="spellEnd"/>
      <w:r w:rsidRPr="000314BF">
        <w:rPr>
          <w:rFonts w:cstheme="minorHAnsi"/>
          <w:bCs/>
        </w:rPr>
        <w:t xml:space="preserve"> lidé mohou také navštívit a využít služeb opravárenské Cirkulární dílny, Knihovny věcí nebo se účastnit diskuzních večerů BUZZ </w:t>
      </w:r>
      <w:proofErr w:type="spellStart"/>
      <w:r w:rsidRPr="00A14BBF">
        <w:rPr>
          <w:rFonts w:cstheme="minorHAnsi"/>
          <w:bCs/>
        </w:rPr>
        <w:t>talks</w:t>
      </w:r>
      <w:proofErr w:type="spellEnd"/>
      <w:r w:rsidRPr="00A14BBF">
        <w:rPr>
          <w:rFonts w:cstheme="minorHAnsi"/>
          <w:bCs/>
        </w:rPr>
        <w:t xml:space="preserve">, které přináší témata cirkulární ekonomiky široké veřejnosti. 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/>
          <w:bCs/>
        </w:rPr>
        <w:t xml:space="preserve">Školení neziskové organizace </w:t>
      </w:r>
      <w:proofErr w:type="spellStart"/>
      <w:r w:rsidRPr="00A14BBF">
        <w:rPr>
          <w:rFonts w:cstheme="minorHAnsi"/>
          <w:b/>
          <w:bCs/>
        </w:rPr>
        <w:t>Bezobalu</w:t>
      </w:r>
      <w:proofErr w:type="spellEnd"/>
      <w:r w:rsidRPr="00A14BBF">
        <w:rPr>
          <w:rFonts w:cstheme="minorHAnsi"/>
          <w:b/>
          <w:bCs/>
        </w:rPr>
        <w:t xml:space="preserve">, </w:t>
      </w:r>
      <w:proofErr w:type="spellStart"/>
      <w:r w:rsidRPr="00A14BBF">
        <w:rPr>
          <w:rFonts w:cstheme="minorHAnsi"/>
          <w:b/>
          <w:bCs/>
        </w:rPr>
        <w:t>z.ú</w:t>
      </w:r>
      <w:proofErr w:type="spellEnd"/>
      <w:r w:rsidRPr="00A14BBF">
        <w:rPr>
          <w:rFonts w:cstheme="minorHAnsi"/>
          <w:b/>
          <w:bCs/>
        </w:rPr>
        <w:t>.</w:t>
      </w:r>
      <w:r w:rsidRPr="00A14BBF">
        <w:rPr>
          <w:rFonts w:cstheme="minorHAnsi"/>
          <w:bCs/>
        </w:rPr>
        <w:t xml:space="preserve"> o zaváděn</w:t>
      </w:r>
      <w:r w:rsidRPr="00A14BBF">
        <w:rPr>
          <w:rFonts w:cstheme="minorHAnsi"/>
          <w:bCs/>
        </w:rPr>
        <w:t>í konceptu šetrné distribuce a rozvoji bezobalových prodejen v České republice. Snahou je přispět k p</w:t>
      </w:r>
      <w:r w:rsidRPr="00A14BBF">
        <w:rPr>
          <w:rFonts w:cstheme="minorHAnsi"/>
        </w:rPr>
        <w:t xml:space="preserve">ředcházíme </w:t>
      </w:r>
      <w:r w:rsidRPr="00A14BBF">
        <w:rPr>
          <w:rFonts w:cstheme="minorHAnsi"/>
        </w:rPr>
        <w:lastRenderedPageBreak/>
        <w:t>vzniku zbytečného odpadu z jednorázových obalů a vychovávat dodavatele k</w:t>
      </w:r>
      <w:r w:rsidR="002D5BF0" w:rsidRPr="00A14BBF">
        <w:rPr>
          <w:rFonts w:cstheme="minorHAnsi"/>
        </w:rPr>
        <w:t> </w:t>
      </w:r>
      <w:r w:rsidRPr="00A14BBF">
        <w:rPr>
          <w:rFonts w:cstheme="minorHAnsi"/>
        </w:rPr>
        <w:t>odpovědnější distribuci.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/>
        </w:rPr>
        <w:t xml:space="preserve">Koncept </w:t>
      </w:r>
      <w:proofErr w:type="spellStart"/>
      <w:r w:rsidRPr="00A14BBF">
        <w:rPr>
          <w:rFonts w:cstheme="minorHAnsi"/>
          <w:b/>
        </w:rPr>
        <w:t>Zero</w:t>
      </w:r>
      <w:proofErr w:type="spellEnd"/>
      <w:r w:rsidRPr="00A14BBF">
        <w:rPr>
          <w:rFonts w:cstheme="minorHAnsi"/>
          <w:b/>
        </w:rPr>
        <w:t xml:space="preserve"> </w:t>
      </w:r>
      <w:proofErr w:type="spellStart"/>
      <w:r w:rsidRPr="00A14BBF">
        <w:rPr>
          <w:rFonts w:cstheme="minorHAnsi"/>
          <w:b/>
        </w:rPr>
        <w:t>Waste</w:t>
      </w:r>
      <w:proofErr w:type="spellEnd"/>
      <w:r w:rsidRPr="00A14BBF">
        <w:rPr>
          <w:rFonts w:cstheme="minorHAnsi"/>
          <w:b/>
        </w:rPr>
        <w:t>,</w:t>
      </w:r>
      <w:r w:rsidRPr="00A14BBF">
        <w:rPr>
          <w:rFonts w:cstheme="minorHAnsi"/>
        </w:rPr>
        <w:t xml:space="preserve"> </w:t>
      </w:r>
      <w:r w:rsidRPr="00A14BBF">
        <w:rPr>
          <w:rFonts w:cstheme="minorHAnsi"/>
          <w:b/>
          <w:bCs/>
        </w:rPr>
        <w:t xml:space="preserve">neziskové organizace </w:t>
      </w:r>
      <w:proofErr w:type="spellStart"/>
      <w:r w:rsidRPr="00A14BBF">
        <w:rPr>
          <w:rFonts w:cstheme="minorHAnsi"/>
          <w:b/>
          <w:bCs/>
        </w:rPr>
        <w:t>Bezob</w:t>
      </w:r>
      <w:r w:rsidRPr="00A14BBF">
        <w:rPr>
          <w:rFonts w:cstheme="minorHAnsi"/>
          <w:b/>
          <w:bCs/>
        </w:rPr>
        <w:t>alu</w:t>
      </w:r>
      <w:proofErr w:type="spellEnd"/>
      <w:r w:rsidRPr="00A14BBF">
        <w:rPr>
          <w:rFonts w:cstheme="minorHAnsi"/>
          <w:b/>
          <w:bCs/>
        </w:rPr>
        <w:t xml:space="preserve">, </w:t>
      </w:r>
      <w:proofErr w:type="spellStart"/>
      <w:r w:rsidRPr="00A14BBF">
        <w:rPr>
          <w:rFonts w:cstheme="minorHAnsi"/>
          <w:b/>
          <w:bCs/>
        </w:rPr>
        <w:t>z.ú</w:t>
      </w:r>
      <w:proofErr w:type="spellEnd"/>
      <w:r w:rsidRPr="00A14BBF">
        <w:rPr>
          <w:rFonts w:cstheme="minorHAnsi"/>
          <w:b/>
          <w:bCs/>
        </w:rPr>
        <w:t>.</w:t>
      </w:r>
      <w:r w:rsidRPr="00A14BBF">
        <w:rPr>
          <w:rFonts w:cstheme="minorHAnsi"/>
          <w:bCs/>
        </w:rPr>
        <w:t xml:space="preserve">  –</w:t>
      </w:r>
      <w:r w:rsidRPr="00A14BBF">
        <w:rPr>
          <w:rFonts w:cstheme="minorHAnsi"/>
        </w:rPr>
        <w:t xml:space="preserve"> pořádá školení pro zájemce o know-how k provozování bezobalových prodejen, kde je možné nakupovat kvalitní produkty do vlastních, znovupoužitelných nádob.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/>
          <w:bCs/>
        </w:rPr>
        <w:t>Aplikace</w:t>
      </w:r>
      <w:r w:rsidRPr="00A14BBF">
        <w:rPr>
          <w:rFonts w:cstheme="minorHAnsi"/>
          <w:b/>
          <w:bCs/>
          <w:i/>
        </w:rPr>
        <w:t xml:space="preserve"> „Nesnězeno.cz“</w:t>
      </w:r>
      <w:r w:rsidRPr="00A14BBF">
        <w:rPr>
          <w:rFonts w:cstheme="minorHAnsi"/>
          <w:bCs/>
        </w:rPr>
        <w:t xml:space="preserve"> - </w:t>
      </w:r>
      <w:hyperlink r:id="rId45" w:history="1">
        <w:r w:rsidRPr="00A14BBF">
          <w:rPr>
            <w:rStyle w:val="Hypertextovodkaz"/>
            <w:rFonts w:cstheme="minorHAnsi"/>
          </w:rPr>
          <w:t>https://nesnezeno.cz/</w:t>
        </w:r>
      </w:hyperlink>
      <w:r w:rsidRPr="00A14BBF">
        <w:rPr>
          <w:rFonts w:cstheme="minorHAnsi"/>
          <w:bCs/>
        </w:rPr>
        <w:t>. A</w:t>
      </w:r>
      <w:r w:rsidRPr="00A14BBF">
        <w:rPr>
          <w:rFonts w:cstheme="minorHAnsi"/>
          <w:bCs/>
        </w:rPr>
        <w:t xml:space="preserve">plikace Nesnezeno.cz pomáhá jako nástroj proti plýtvání s jídlem v </w:t>
      </w:r>
      <w:proofErr w:type="spellStart"/>
      <w:r w:rsidRPr="00A14BBF">
        <w:rPr>
          <w:rFonts w:cstheme="minorHAnsi"/>
          <w:bCs/>
        </w:rPr>
        <w:t>gastro</w:t>
      </w:r>
      <w:proofErr w:type="spellEnd"/>
      <w:r w:rsidRPr="00A14BBF">
        <w:rPr>
          <w:rFonts w:cstheme="minorHAnsi"/>
          <w:bCs/>
        </w:rPr>
        <w:t xml:space="preserve"> provozech. Spolupracující podniky mohou přes aplikaci prodat ve slevě zbylé porce jídla, které by jinak skončily v odpadech. Aplikace ukáže podniky v okolí, které v daný den nestihly</w:t>
      </w:r>
      <w:r w:rsidRPr="00A14BBF">
        <w:rPr>
          <w:rFonts w:cstheme="minorHAnsi"/>
          <w:bCs/>
        </w:rPr>
        <w:t xml:space="preserve"> prodat všechno jídlo. Zbylé porce </w:t>
      </w:r>
      <w:proofErr w:type="spellStart"/>
      <w:r w:rsidRPr="00A14BBF">
        <w:rPr>
          <w:rFonts w:cstheme="minorHAnsi"/>
          <w:bCs/>
        </w:rPr>
        <w:t>meníček</w:t>
      </w:r>
      <w:proofErr w:type="spellEnd"/>
      <w:r w:rsidRPr="00A14BBF">
        <w:rPr>
          <w:rFonts w:cstheme="minorHAnsi"/>
          <w:bCs/>
        </w:rPr>
        <w:t xml:space="preserve"> i dalších jídel nabízí se slevou minimálně 30 %.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/>
          <w:bCs/>
        </w:rPr>
        <w:t xml:space="preserve">Aplikace </w:t>
      </w:r>
      <w:r w:rsidRPr="00A14BBF">
        <w:rPr>
          <w:rFonts w:cstheme="minorHAnsi"/>
          <w:b/>
          <w:bCs/>
          <w:i/>
        </w:rPr>
        <w:t>„Jídlov.cz“</w:t>
      </w:r>
      <w:r w:rsidRPr="00A14BBF">
        <w:rPr>
          <w:rFonts w:cstheme="minorHAnsi"/>
          <w:bCs/>
        </w:rPr>
        <w:t xml:space="preserve"> - </w:t>
      </w:r>
      <w:hyperlink r:id="rId46" w:history="1">
        <w:r w:rsidRPr="00A14BBF">
          <w:rPr>
            <w:rStyle w:val="Hypertextovodkaz"/>
            <w:rFonts w:cstheme="minorHAnsi"/>
          </w:rPr>
          <w:t>https://www.jidlov.cz</w:t>
        </w:r>
      </w:hyperlink>
      <w:r w:rsidRPr="00A14BBF">
        <w:rPr>
          <w:rFonts w:cstheme="minorHAnsi"/>
          <w:bCs/>
        </w:rPr>
        <w:t>. Aplikace pomáhá snižovat množství potravinového odpadu skrze mobilní aplikaci. R</w:t>
      </w:r>
      <w:r w:rsidRPr="00A14BBF">
        <w:rPr>
          <w:rFonts w:cstheme="minorHAnsi"/>
          <w:bCs/>
        </w:rPr>
        <w:t>estaurace, bistra, pekárny, a další tak mohou zužitkovat jídlo, které by jinak přišlo nazmar. Zákazník nakupuje potraviny za sníženou cenu, přičemž jejich kvalita zůstává zachována.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/>
          <w:bCs/>
        </w:rPr>
        <w:t xml:space="preserve">Kampaň „Spotřebuj mě“ </w:t>
      </w:r>
      <w:r w:rsidRPr="00A14BBF">
        <w:rPr>
          <w:rFonts w:cstheme="minorHAnsi"/>
          <w:bCs/>
        </w:rPr>
        <w:t>šíří osvětu v porozumění</w:t>
      </w:r>
      <w:r w:rsidRPr="00A14BBF">
        <w:rPr>
          <w:rFonts w:cstheme="minorHAnsi"/>
          <w:b/>
          <w:bCs/>
        </w:rPr>
        <w:t xml:space="preserve"> </w:t>
      </w:r>
      <w:r w:rsidRPr="00A14BBF">
        <w:rPr>
          <w:rFonts w:cstheme="minorHAnsi"/>
        </w:rPr>
        <w:t>pojmů uváděných na potravin</w:t>
      </w:r>
      <w:r w:rsidRPr="00A14BBF">
        <w:rPr>
          <w:rFonts w:cstheme="minorHAnsi"/>
        </w:rPr>
        <w:t>ách "spotřebujte do" a "minimální trvanlivost", tak a přispívá tak k</w:t>
      </w:r>
      <w:r w:rsidR="002D5BF0" w:rsidRPr="00A14BBF">
        <w:rPr>
          <w:rFonts w:cstheme="minorHAnsi"/>
        </w:rPr>
        <w:t> </w:t>
      </w:r>
      <w:r w:rsidRPr="00A14BBF">
        <w:rPr>
          <w:rFonts w:cstheme="minorHAnsi"/>
        </w:rPr>
        <w:t>tomu</w:t>
      </w:r>
      <w:r w:rsidR="002D5BF0" w:rsidRPr="00A14BBF">
        <w:rPr>
          <w:rFonts w:cstheme="minorHAnsi"/>
        </w:rPr>
        <w:t>,</w:t>
      </w:r>
      <w:r w:rsidRPr="00A14BBF">
        <w:rPr>
          <w:rFonts w:cstheme="minorHAnsi"/>
        </w:rPr>
        <w:t xml:space="preserve"> aby se zbytečně nevyhazovalo jídlo kvůli neporozumění datům na obalech potravin.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A14BBF">
        <w:rPr>
          <w:rFonts w:cstheme="minorHAnsi"/>
          <w:b/>
        </w:rPr>
        <w:t>Projekt „Dolej si“</w:t>
      </w:r>
      <w:r w:rsidRPr="00A14BBF">
        <w:rPr>
          <w:rFonts w:cstheme="minorHAnsi"/>
        </w:rPr>
        <w:t xml:space="preserve"> - </w:t>
      </w:r>
      <w:hyperlink r:id="rId47" w:tgtFrame="_blank" w:history="1">
        <w:r w:rsidRPr="00A14BBF">
          <w:rPr>
            <w:rStyle w:val="Hypertextovodkaz"/>
            <w:rFonts w:cstheme="minorHAnsi"/>
          </w:rPr>
          <w:t>udrzitelnypalacky.upol.cz/dolej-si</w:t>
        </w:r>
      </w:hyperlink>
      <w:r w:rsidRPr="00A14BBF">
        <w:rPr>
          <w:rFonts w:cstheme="minorHAnsi"/>
          <w:u w:val="single"/>
        </w:rPr>
        <w:t>.</w:t>
      </w:r>
      <w:r w:rsidRPr="00A14BBF">
        <w:rPr>
          <w:rFonts w:cstheme="minorHAnsi"/>
        </w:rPr>
        <w:t xml:space="preserve"> Do projektu se dobrovolně mohou zapojit provozovny, které umožnují všem doplnit si láhev namísto kupování další balené vody. 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A14BBF">
        <w:rPr>
          <w:rFonts w:cstheme="minorHAnsi"/>
          <w:b/>
        </w:rPr>
        <w:t>Projekt "Bioodpad není odpad"</w:t>
      </w:r>
      <w:r w:rsidRPr="00A14BBF">
        <w:rPr>
          <w:rFonts w:cstheme="minorHAnsi"/>
        </w:rPr>
        <w:t xml:space="preserve"> prezentovaný na webu </w:t>
      </w:r>
      <w:hyperlink r:id="rId48" w:history="1">
        <w:r w:rsidRPr="00A14BBF">
          <w:rPr>
            <w:rStyle w:val="Hypertextovodkaz"/>
            <w:rFonts w:cstheme="minorHAnsi"/>
          </w:rPr>
          <w:t>https://www.kompostuj.cz/</w:t>
        </w:r>
      </w:hyperlink>
      <w:r w:rsidRPr="00A14BBF">
        <w:rPr>
          <w:rFonts w:cstheme="minorHAnsi"/>
        </w:rPr>
        <w:t xml:space="preserve">je dlouhodobým projektem na několika školách v Praze. Zapojuje a učí děti/žáky třídit </w:t>
      </w:r>
      <w:proofErr w:type="spellStart"/>
      <w:r w:rsidRPr="00A14BBF">
        <w:rPr>
          <w:rFonts w:cstheme="minorHAnsi"/>
        </w:rPr>
        <w:t>biomateriál</w:t>
      </w:r>
      <w:proofErr w:type="spellEnd"/>
      <w:r w:rsidRPr="00A14BBF">
        <w:rPr>
          <w:rFonts w:cstheme="minorHAnsi"/>
        </w:rPr>
        <w:t xml:space="preserve">, kompostovat a využívat výsledný kompost pro pěstování ve čtverečkových zahrádkách. 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proofErr w:type="spellStart"/>
      <w:r w:rsidRPr="00A14BBF">
        <w:rPr>
          <w:rFonts w:cstheme="minorHAnsi"/>
          <w:b/>
          <w:i/>
        </w:rPr>
        <w:t>Informačni</w:t>
      </w:r>
      <w:proofErr w:type="spellEnd"/>
      <w:r w:rsidRPr="00A14BBF">
        <w:rPr>
          <w:rFonts w:cstheme="minorHAnsi"/>
          <w:b/>
          <w:i/>
        </w:rPr>
        <w:t xml:space="preserve">́ </w:t>
      </w:r>
      <w:proofErr w:type="spellStart"/>
      <w:r w:rsidRPr="00A14BBF">
        <w:rPr>
          <w:rFonts w:cstheme="minorHAnsi"/>
          <w:b/>
          <w:i/>
        </w:rPr>
        <w:t>kampan</w:t>
      </w:r>
      <w:proofErr w:type="spellEnd"/>
      <w:r w:rsidRPr="00A14BBF">
        <w:rPr>
          <w:rFonts w:cstheme="minorHAnsi"/>
          <w:b/>
          <w:i/>
        </w:rPr>
        <w:t>̌ #</w:t>
      </w:r>
      <w:proofErr w:type="spellStart"/>
      <w:r w:rsidRPr="00A14BBF">
        <w:rPr>
          <w:rFonts w:cstheme="minorHAnsi"/>
          <w:b/>
          <w:i/>
        </w:rPr>
        <w:t>ŽijuKompostyl</w:t>
      </w:r>
      <w:proofErr w:type="spellEnd"/>
      <w:r w:rsidRPr="00A14BBF">
        <w:rPr>
          <w:rFonts w:cstheme="minorHAnsi"/>
        </w:rPr>
        <w:t xml:space="preserve"> </w:t>
      </w:r>
      <w:hyperlink r:id="rId49" w:history="1">
        <w:r w:rsidRPr="00A14BBF">
          <w:rPr>
            <w:rStyle w:val="Hypertextovodkaz"/>
            <w:rFonts w:cstheme="minorHAnsi"/>
          </w:rPr>
          <w:t>https://kokoza.cz/projekty/informacni-kampan-zijukompostyl/</w:t>
        </w:r>
      </w:hyperlink>
      <w:r w:rsidRPr="00A14BBF">
        <w:rPr>
          <w:rFonts w:cstheme="minorHAnsi"/>
        </w:rPr>
        <w:t xml:space="preserve">– projekt pro osvětu v oblasti třídění bioodpadu ze směsného komunálního odpadu a kompostování zbytků potravin. 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A14BBF">
        <w:rPr>
          <w:rFonts w:cstheme="minorHAnsi"/>
          <w:b/>
          <w:i/>
        </w:rPr>
        <w:t>Informační platform</w:t>
      </w:r>
      <w:r w:rsidRPr="00A14BBF">
        <w:rPr>
          <w:rFonts w:cstheme="minorHAnsi"/>
          <w:b/>
          <w:i/>
        </w:rPr>
        <w:t xml:space="preserve">a </w:t>
      </w:r>
      <w:proofErr w:type="spellStart"/>
      <w:r w:rsidRPr="00A14BBF">
        <w:rPr>
          <w:rFonts w:cstheme="minorHAnsi"/>
          <w:b/>
          <w:i/>
        </w:rPr>
        <w:t>Zero</w:t>
      </w:r>
      <w:proofErr w:type="spellEnd"/>
      <w:r w:rsidRPr="00A14BBF">
        <w:rPr>
          <w:rFonts w:cstheme="minorHAnsi"/>
          <w:b/>
          <w:i/>
        </w:rPr>
        <w:t xml:space="preserve"> </w:t>
      </w:r>
      <w:proofErr w:type="spellStart"/>
      <w:r w:rsidRPr="00A14BBF">
        <w:rPr>
          <w:rFonts w:cstheme="minorHAnsi"/>
          <w:b/>
          <w:i/>
        </w:rPr>
        <w:t>Waste</w:t>
      </w:r>
      <w:proofErr w:type="spellEnd"/>
      <w:r w:rsidRPr="00A14BBF">
        <w:rPr>
          <w:rFonts w:cstheme="minorHAnsi"/>
          <w:b/>
        </w:rPr>
        <w:t xml:space="preserve">  </w:t>
      </w:r>
      <w:hyperlink r:id="rId50" w:history="1">
        <w:r w:rsidRPr="00A14BBF">
          <w:rPr>
            <w:rStyle w:val="Hypertextovodkaz"/>
            <w:rFonts w:cstheme="minorHAnsi"/>
          </w:rPr>
          <w:t>https://zijudrzitelne.bezobalu.org/</w:t>
        </w:r>
      </w:hyperlink>
      <w:r w:rsidRPr="00A14BBF">
        <w:rPr>
          <w:rFonts w:cstheme="minorHAnsi"/>
          <w:b/>
        </w:rPr>
        <w:t xml:space="preserve"> </w:t>
      </w:r>
      <w:r w:rsidRPr="00A14BBF">
        <w:rPr>
          <w:rFonts w:cstheme="minorHAnsi"/>
        </w:rPr>
        <w:t xml:space="preserve">podporuje ohleduplné vzorce jednání a poskytuje snadný přístup k informacím o </w:t>
      </w:r>
      <w:proofErr w:type="spellStart"/>
      <w:r w:rsidRPr="00A14BBF">
        <w:rPr>
          <w:rFonts w:cstheme="minorHAnsi"/>
        </w:rPr>
        <w:t>Zero</w:t>
      </w:r>
      <w:proofErr w:type="spellEnd"/>
      <w:r w:rsidRPr="00A14BBF">
        <w:rPr>
          <w:rFonts w:cstheme="minorHAnsi"/>
        </w:rPr>
        <w:t xml:space="preserve"> </w:t>
      </w:r>
      <w:proofErr w:type="spellStart"/>
      <w:r w:rsidRPr="00A14BBF">
        <w:rPr>
          <w:rFonts w:cstheme="minorHAnsi"/>
        </w:rPr>
        <w:t>Waste</w:t>
      </w:r>
      <w:proofErr w:type="spellEnd"/>
      <w:r w:rsidRPr="00A14BBF">
        <w:rPr>
          <w:rFonts w:cstheme="minorHAnsi"/>
        </w:rPr>
        <w:t xml:space="preserve"> životním stylu. 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A14BBF">
        <w:rPr>
          <w:rFonts w:cstheme="minorHAnsi"/>
          <w:b/>
        </w:rPr>
        <w:t xml:space="preserve">Projekt </w:t>
      </w:r>
      <w:r w:rsidRPr="00A14BBF">
        <w:rPr>
          <w:rFonts w:cstheme="minorHAnsi"/>
          <w:b/>
          <w:i/>
        </w:rPr>
        <w:t>„Z pokoje do pokoje“</w:t>
      </w:r>
      <w:r w:rsidRPr="00A14BBF">
        <w:rPr>
          <w:rFonts w:cstheme="minorHAnsi"/>
        </w:rPr>
        <w:t xml:space="preserve"> </w:t>
      </w:r>
      <w:hyperlink r:id="rId51" w:history="1">
        <w:r w:rsidRPr="00A14BBF">
          <w:rPr>
            <w:rStyle w:val="Hypertextovodkaz"/>
            <w:rFonts w:cstheme="minorHAnsi"/>
          </w:rPr>
          <w:t>https://www.zpokojedopokoje.cz/</w:t>
        </w:r>
      </w:hyperlink>
      <w:r w:rsidRPr="00A14BBF">
        <w:rPr>
          <w:rFonts w:cstheme="minorHAnsi"/>
        </w:rPr>
        <w:t xml:space="preserve"> je kombinací re-use centra a sdílené dílny s cílem je zachraňovat starý nábytek a vracet jej zpět do koloběhu. V rámci projektu jsou pořádány kurzy pro veřejnost. </w:t>
      </w:r>
    </w:p>
    <w:p w:rsidR="005B5CFF" w:rsidRPr="00A14BBF" w:rsidRDefault="008C12E6" w:rsidP="002D5BF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hyperlink r:id="rId52" w:history="1">
        <w:r w:rsidRPr="00A14BBF">
          <w:rPr>
            <w:rStyle w:val="Hypertextovodkaz"/>
            <w:rFonts w:cstheme="minorHAnsi"/>
          </w:rPr>
          <w:t>https://www.swapprague.cz/</w:t>
        </w:r>
      </w:hyperlink>
      <w:r w:rsidRPr="00A14BBF">
        <w:rPr>
          <w:rFonts w:cstheme="minorHAnsi"/>
        </w:rPr>
        <w:t xml:space="preserve"> prostřednictvím swapů je podporována přímá výměna nepotřebných věcí mezi lidmi a jejich opětovné využití, zároveň je zvyšováno povědomí veřejnosti v této problematice</w:t>
      </w:r>
      <w:r w:rsidR="002D5BF0" w:rsidRPr="00A14BBF">
        <w:rPr>
          <w:rFonts w:cstheme="minorHAnsi"/>
        </w:rPr>
        <w:t>.</w:t>
      </w:r>
    </w:p>
    <w:p w:rsidR="005B5CFF" w:rsidRPr="00A14BBF" w:rsidRDefault="008C12E6" w:rsidP="00AC224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A14BBF">
        <w:rPr>
          <w:rFonts w:cstheme="minorHAnsi"/>
        </w:rPr>
        <w:lastRenderedPageBreak/>
        <w:t>Projekt „</w:t>
      </w:r>
      <w:r w:rsidRPr="00A14BBF">
        <w:rPr>
          <w:rFonts w:cstheme="minorHAnsi"/>
          <w:b/>
          <w:i/>
        </w:rPr>
        <w:t>Není pytlík jako pytlík“</w:t>
      </w:r>
      <w:r w:rsidRPr="00A14BBF">
        <w:rPr>
          <w:rFonts w:cstheme="minorHAnsi"/>
        </w:rPr>
        <w:t xml:space="preserve"> </w:t>
      </w:r>
      <w:hyperlink r:id="rId53" w:history="1">
        <w:r w:rsidRPr="00A14BBF">
          <w:rPr>
            <w:rStyle w:val="Hypertextovodkaz"/>
            <w:rFonts w:cstheme="minorHAnsi"/>
          </w:rPr>
          <w:t>https://www.ipur.cz/projekty/neni-pytlik-jako-pytlik/</w:t>
        </w:r>
      </w:hyperlink>
      <w:r w:rsidRPr="00A14BBF">
        <w:rPr>
          <w:rFonts w:cstheme="minorHAnsi"/>
        </w:rPr>
        <w:t xml:space="preserve"> je projektem Institutu pro udržitelný rozvoj (IPUR), cílem projektu je přispět ke snížení spotřeby jednorázových obalů prostřednictvím komunikačníc</w:t>
      </w:r>
      <w:r w:rsidRPr="00A14BBF">
        <w:rPr>
          <w:rFonts w:cstheme="minorHAnsi"/>
        </w:rPr>
        <w:t>h kampaní zaměřených na změnu chování veřejnosti při používání jednorázových obalů</w:t>
      </w:r>
      <w:r w:rsidR="00AC2246" w:rsidRPr="00A14BBF">
        <w:rPr>
          <w:rFonts w:cstheme="minorHAnsi"/>
        </w:rPr>
        <w:t>.</w:t>
      </w:r>
    </w:p>
    <w:p w:rsidR="005B5CFF" w:rsidRPr="00A14BBF" w:rsidRDefault="008C12E6" w:rsidP="00AC224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</w:rPr>
      </w:pPr>
      <w:r w:rsidRPr="00A14BBF">
        <w:rPr>
          <w:rFonts w:cstheme="minorHAnsi"/>
        </w:rPr>
        <w:t xml:space="preserve">Projekt </w:t>
      </w:r>
      <w:r w:rsidRPr="00A14BBF">
        <w:rPr>
          <w:rFonts w:cstheme="minorHAnsi"/>
          <w:b/>
        </w:rPr>
        <w:t>„Společně za menší spotřebu“</w:t>
      </w:r>
      <w:r w:rsidRPr="00A14BBF">
        <w:rPr>
          <w:rFonts w:cstheme="minorHAnsi"/>
        </w:rPr>
        <w:t xml:space="preserve"> </w:t>
      </w:r>
      <w:hyperlink r:id="rId54" w:history="1">
        <w:r w:rsidRPr="00A14BBF">
          <w:rPr>
            <w:rStyle w:val="Hypertextovodkaz"/>
            <w:rFonts w:cstheme="minorHAnsi"/>
          </w:rPr>
          <w:t>https://www.ipur.cz/projekty/spolecne-za-mensi-spotrebu/</w:t>
        </w:r>
      </w:hyperlink>
      <w:r w:rsidRPr="00A14BBF">
        <w:rPr>
          <w:rFonts w:cstheme="minorHAnsi"/>
        </w:rPr>
        <w:t xml:space="preserve"> napom</w:t>
      </w:r>
      <w:r w:rsidRPr="00A14BBF">
        <w:rPr>
          <w:rFonts w:cstheme="minorHAnsi"/>
        </w:rPr>
        <w:t>áhá při šíření environmentální osvěty a zprostředkovává veřejnosti informace o negativních vlivech výroby a spotřeby na životní prostředí.</w:t>
      </w:r>
    </w:p>
    <w:p w:rsidR="005B5CFF" w:rsidRPr="00A14BBF" w:rsidRDefault="008C12E6" w:rsidP="00BF398A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cstheme="minorHAnsi"/>
        </w:rPr>
      </w:pPr>
      <w:r w:rsidRPr="00A14BBF">
        <w:rPr>
          <w:rFonts w:cstheme="minorHAnsi"/>
        </w:rPr>
        <w:t xml:space="preserve">Kampaň </w:t>
      </w:r>
      <w:r w:rsidRPr="00A14BBF">
        <w:rPr>
          <w:rFonts w:cstheme="minorHAnsi"/>
          <w:b/>
        </w:rPr>
        <w:t>„Obalová výzva“</w:t>
      </w:r>
      <w:r w:rsidRPr="00A14BBF">
        <w:rPr>
          <w:rFonts w:cstheme="minorHAnsi"/>
        </w:rPr>
        <w:t xml:space="preserve">  </w:t>
      </w:r>
      <w:hyperlink r:id="rId55" w:history="1">
        <w:r w:rsidRPr="00A14BBF">
          <w:rPr>
            <w:rStyle w:val="Hypertextovodkaz"/>
            <w:rFonts w:cstheme="minorHAnsi"/>
          </w:rPr>
          <w:t>https://www.ipur.cz/projekty/obal</w:t>
        </w:r>
        <w:r w:rsidRPr="00A14BBF">
          <w:rPr>
            <w:rStyle w:val="Hypertextovodkaz"/>
            <w:rFonts w:cstheme="minorHAnsi"/>
          </w:rPr>
          <w:t>ova-vyzva/</w:t>
        </w:r>
      </w:hyperlink>
      <w:r w:rsidRPr="00A14BBF">
        <w:rPr>
          <w:rFonts w:cstheme="minorHAnsi"/>
        </w:rPr>
        <w:t>, v jejím rámci byla mimo jiné vytvořena online databáze nadměrně balených výrobků, do které mohou svými fotkami přispívat sami spotřebitelé</w:t>
      </w:r>
      <w:r w:rsidR="00AC2246" w:rsidRPr="00A14BBF">
        <w:rPr>
          <w:rFonts w:cstheme="minorHAnsi"/>
        </w:rPr>
        <w:t>.</w:t>
      </w:r>
    </w:p>
    <w:p w:rsidR="00D429CC" w:rsidRPr="00A14BBF" w:rsidRDefault="008C12E6" w:rsidP="00833B87">
      <w:pPr>
        <w:pStyle w:val="Odstavecseseznamem"/>
        <w:numPr>
          <w:ilvl w:val="0"/>
          <w:numId w:val="5"/>
        </w:numPr>
        <w:spacing w:after="360" w:line="276" w:lineRule="auto"/>
        <w:ind w:left="709" w:hanging="357"/>
        <w:contextualSpacing w:val="0"/>
        <w:rPr>
          <w:bCs/>
          <w:u w:val="single"/>
        </w:rPr>
      </w:pPr>
      <w:r w:rsidRPr="00A14BBF">
        <w:rPr>
          <w:b/>
          <w:bCs/>
          <w:i/>
        </w:rPr>
        <w:t xml:space="preserve"> </w:t>
      </w:r>
      <w:r w:rsidRPr="00A14BBF">
        <w:rPr>
          <w:b/>
          <w:bCs/>
        </w:rPr>
        <w:t xml:space="preserve">Projekt </w:t>
      </w:r>
      <w:r w:rsidRPr="00A14BBF">
        <w:rPr>
          <w:b/>
          <w:bCs/>
          <w:i/>
        </w:rPr>
        <w:t>„</w:t>
      </w:r>
      <w:proofErr w:type="spellStart"/>
      <w:r w:rsidRPr="00A14BBF">
        <w:rPr>
          <w:b/>
          <w:bCs/>
          <w:i/>
        </w:rPr>
        <w:t>Meníčka</w:t>
      </w:r>
      <w:proofErr w:type="spellEnd"/>
      <w:r w:rsidRPr="00A14BBF">
        <w:rPr>
          <w:b/>
          <w:bCs/>
          <w:i/>
        </w:rPr>
        <w:t xml:space="preserve"> pro bezdomovce“</w:t>
      </w:r>
      <w:r w:rsidRPr="00A14BBF">
        <w:rPr>
          <w:bCs/>
        </w:rPr>
        <w:t xml:space="preserve"> realizuje Centrum sociálních služeb v Brně. Provozovny veřejného stravování poskytují zdarma v pracovní dny nespotřebovaná (respektive neprodaná) polední menu včetně polévek lidem bez přístřeší. </w:t>
      </w:r>
      <w:r w:rsidR="004C6120" w:rsidRPr="00A14BBF">
        <w:rPr>
          <w:bCs/>
        </w:rPr>
        <w:t>N</w:t>
      </w:r>
      <w:r w:rsidRPr="00A14BBF">
        <w:rPr>
          <w:bCs/>
        </w:rPr>
        <w:t>eprodan</w:t>
      </w:r>
      <w:r w:rsidR="004C6120" w:rsidRPr="00A14BBF">
        <w:rPr>
          <w:bCs/>
        </w:rPr>
        <w:t>á</w:t>
      </w:r>
      <w:r w:rsidRPr="00A14BBF">
        <w:rPr>
          <w:bCs/>
        </w:rPr>
        <w:t xml:space="preserve"> polední menu </w:t>
      </w:r>
      <w:r w:rsidR="004C6120" w:rsidRPr="00A14BBF">
        <w:rPr>
          <w:bCs/>
        </w:rPr>
        <w:t xml:space="preserve">se sváží </w:t>
      </w:r>
      <w:r w:rsidRPr="00A14BBF">
        <w:rPr>
          <w:bCs/>
        </w:rPr>
        <w:t>přímo z provozoven do Městsk</w:t>
      </w:r>
      <w:r w:rsidRPr="00A14BBF">
        <w:rPr>
          <w:bCs/>
        </w:rPr>
        <w:t>ého střediska krizové sociální pomoci, kde lidé mohou zdarma dostat kvalitní teplou stravu, která by v případě neexistence projektu končila v</w:t>
      </w:r>
      <w:r w:rsidR="00F9349B" w:rsidRPr="00A14BBF">
        <w:rPr>
          <w:bCs/>
        </w:rPr>
        <w:t xml:space="preserve"> odpadu</w:t>
      </w:r>
      <w:r w:rsidRPr="00A14BBF">
        <w:rPr>
          <w:bCs/>
        </w:rPr>
        <w:t xml:space="preserve">. </w:t>
      </w:r>
    </w:p>
    <w:p w:rsidR="008845F3" w:rsidRPr="00A14BBF" w:rsidRDefault="008C12E6" w:rsidP="008845F3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u w:val="single"/>
        </w:rPr>
      </w:pPr>
      <w:r w:rsidRPr="00A14BBF">
        <w:rPr>
          <w:rFonts w:cstheme="minorHAnsi"/>
          <w:b/>
          <w:u w:val="single"/>
        </w:rPr>
        <w:t>Podpora pro Re-use centra</w:t>
      </w:r>
    </w:p>
    <w:p w:rsidR="008845F3" w:rsidRPr="00A14BBF" w:rsidRDefault="008C12E6" w:rsidP="00833B87">
      <w:pPr>
        <w:spacing w:after="360" w:line="276" w:lineRule="auto"/>
        <w:ind w:left="709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V letech 2019–2020 bylo z OPŽP 2014–2020 v rámci prioritní osy 3, Specifického </w:t>
      </w:r>
      <w:r w:rsidRPr="00A14BBF">
        <w:rPr>
          <w:rFonts w:cstheme="minorHAnsi"/>
          <w:bCs/>
        </w:rPr>
        <w:t>cíle 1</w:t>
      </w:r>
      <w:r w:rsidR="00B8191B">
        <w:rPr>
          <w:rFonts w:cstheme="minorHAnsi"/>
          <w:bCs/>
        </w:rPr>
        <w:t> </w:t>
      </w:r>
      <w:r w:rsidRPr="00A14BBF">
        <w:rPr>
          <w:rFonts w:cstheme="minorHAnsi"/>
          <w:bCs/>
        </w:rPr>
        <w:t>- Prevence vzniku odpadů podpořeno celkem 45 projektů RE-USE center v částce téměř 99 mil. Kč. Celkově bylo od počátku programu podpořeno 68 projektů ve výši cca. 147 mil. Kč v rámci výzev č. 40., 68., 84., 103. a 122.</w:t>
      </w:r>
    </w:p>
    <w:p w:rsidR="008845F3" w:rsidRPr="00A14BBF" w:rsidRDefault="008C12E6" w:rsidP="008845F3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u w:val="single"/>
        </w:rPr>
      </w:pPr>
      <w:r w:rsidRPr="00A14BBF">
        <w:rPr>
          <w:rFonts w:cstheme="minorHAnsi"/>
          <w:b/>
          <w:u w:val="single"/>
        </w:rPr>
        <w:t xml:space="preserve">Aktivity v oblasti servisních </w:t>
      </w:r>
      <w:r w:rsidRPr="00A14BBF">
        <w:rPr>
          <w:rFonts w:cstheme="minorHAnsi"/>
          <w:b/>
          <w:u w:val="single"/>
        </w:rPr>
        <w:t xml:space="preserve">služeb a </w:t>
      </w:r>
      <w:proofErr w:type="spellStart"/>
      <w:r w:rsidRPr="00A14BBF">
        <w:rPr>
          <w:rFonts w:cstheme="minorHAnsi"/>
          <w:b/>
          <w:u w:val="single"/>
        </w:rPr>
        <w:t>reuse</w:t>
      </w:r>
      <w:proofErr w:type="spellEnd"/>
      <w:r w:rsidRPr="00A14BBF">
        <w:rPr>
          <w:rFonts w:cstheme="minorHAnsi"/>
          <w:b/>
          <w:u w:val="single"/>
        </w:rPr>
        <w:t xml:space="preserve"> center v ČR</w:t>
      </w:r>
    </w:p>
    <w:p w:rsidR="008845F3" w:rsidRPr="00A14BBF" w:rsidRDefault="008C12E6" w:rsidP="00ED69D2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centrum Ostrava“</w:t>
      </w:r>
      <w:r w:rsidRPr="00A14BBF">
        <w:rPr>
          <w:rFonts w:cstheme="minorHAnsi"/>
          <w:szCs w:val="24"/>
        </w:rPr>
        <w:t xml:space="preserve"> je společným projektem města Ostravy a společnosti OZO Ostrava. Jedná se o sklad použitého nábytku a dalších funkčních předmětů pro domácnost, které lidé věnovali, protože je již nepotřebují. Nabízeny budou buď tak, jak je lidé darovali, nebo po drobné op</w:t>
      </w:r>
      <w:r w:rsidRPr="00A14BBF">
        <w:rPr>
          <w:rFonts w:cstheme="minorHAnsi"/>
          <w:szCs w:val="24"/>
        </w:rPr>
        <w:t xml:space="preserve">ravě. Protihodnotou za vybraný předmět, který si občan odnáší, je příspěvek do veřejné sbírky „Veřejná zeleň v Ostravě“. </w:t>
      </w:r>
      <w:proofErr w:type="spellStart"/>
      <w:r w:rsidRPr="00A14BBF">
        <w:rPr>
          <w:rFonts w:cstheme="minorHAnsi"/>
          <w:szCs w:val="24"/>
        </w:rPr>
        <w:t>Reuse</w:t>
      </w:r>
      <w:proofErr w:type="spellEnd"/>
      <w:r w:rsidRPr="00A14BBF">
        <w:rPr>
          <w:rFonts w:cstheme="minorHAnsi"/>
          <w:szCs w:val="24"/>
        </w:rPr>
        <w:t xml:space="preserve"> centrum Ostrava se věnuje také osvětové činnosti zaměřené na předcházení vzniku odpadu a jeho opětovné využití. Na toto téma jsou</w:t>
      </w:r>
      <w:r w:rsidRPr="00A14BBF">
        <w:rPr>
          <w:rFonts w:cstheme="minorHAnsi"/>
          <w:szCs w:val="24"/>
        </w:rPr>
        <w:t xml:space="preserve"> pořádány přednášky, workshopy nebo swapy.</w:t>
      </w:r>
    </w:p>
    <w:p w:rsidR="008845F3" w:rsidRPr="00A14BBF" w:rsidRDefault="008C12E6" w:rsidP="00ED69D2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centrum Brno“</w:t>
      </w:r>
      <w:r w:rsidRPr="00A14BBF">
        <w:rPr>
          <w:rFonts w:cstheme="minorHAnsi"/>
          <w:szCs w:val="24"/>
        </w:rPr>
        <w:t xml:space="preserve"> provozuje společnost SAKO Brno ve spolupráci se statutárním městem Brnem a Veřejnou zelení města Brna. Cílem projektu je opětovné využití starých, ale stále funkčních předmětů. Dalšími aktivit</w:t>
      </w:r>
      <w:r w:rsidRPr="00A14BBF">
        <w:rPr>
          <w:rFonts w:cstheme="minorHAnsi"/>
          <w:szCs w:val="24"/>
        </w:rPr>
        <w:t>ami jsou pak projekty jsou Retro-Use (jeho cílem využít věci vyrobené před rokem 1989, které byly lidmi vyřazeny, ale stále jsou funkční) a projekt Re-</w:t>
      </w:r>
      <w:proofErr w:type="spellStart"/>
      <w:r w:rsidRPr="00A14BBF">
        <w:rPr>
          <w:rFonts w:cstheme="minorHAnsi"/>
          <w:szCs w:val="24"/>
        </w:rPr>
        <w:t>Nab</w:t>
      </w:r>
      <w:proofErr w:type="spellEnd"/>
      <w:r w:rsidRPr="00A14BBF">
        <w:rPr>
          <w:rFonts w:cstheme="minorHAnsi"/>
          <w:szCs w:val="24"/>
        </w:rPr>
        <w:t xml:space="preserve"> (dává druhou šanci starému, ale stále funkčnímu </w:t>
      </w:r>
      <w:r w:rsidRPr="00A14BBF">
        <w:rPr>
          <w:rFonts w:cstheme="minorHAnsi"/>
          <w:szCs w:val="24"/>
        </w:rPr>
        <w:lastRenderedPageBreak/>
        <w:t>nábytku a zároveň pomáhá brněnským rodinám, které nem</w:t>
      </w:r>
      <w:r w:rsidRPr="00A14BBF">
        <w:rPr>
          <w:rFonts w:cstheme="minorHAnsi"/>
          <w:szCs w:val="24"/>
        </w:rPr>
        <w:t>ají na nové vybavení bytu finanční prostředky, začít nový život).</w:t>
      </w:r>
    </w:p>
    <w:p w:rsidR="008845F3" w:rsidRPr="00A14BBF" w:rsidRDefault="008C12E6" w:rsidP="00CE7EA7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centra Vysočany a Záběhlice“</w:t>
      </w:r>
      <w:r w:rsidRPr="00A14BBF">
        <w:rPr>
          <w:rFonts w:cstheme="minorHAnsi"/>
          <w:szCs w:val="24"/>
        </w:rPr>
        <w:t xml:space="preserve"> v rámci kterého funguje aktivita „</w:t>
      </w:r>
      <w:r w:rsidRPr="00A14BBF">
        <w:rPr>
          <w:rFonts w:cstheme="minorHAnsi"/>
          <w:bCs/>
          <w:szCs w:val="24"/>
        </w:rPr>
        <w:t>Dejte svým věcem 2. šanci!“ je n</w:t>
      </w:r>
      <w:r w:rsidRPr="00A14BBF">
        <w:rPr>
          <w:rFonts w:cstheme="minorHAnsi"/>
          <w:szCs w:val="24"/>
        </w:rPr>
        <w:t xml:space="preserve">apojena na portál </w:t>
      </w:r>
      <w:hyperlink r:id="rId56" w:history="1">
        <w:r w:rsidRPr="00A14BBF">
          <w:rPr>
            <w:rFonts w:cstheme="minorHAnsi"/>
            <w:szCs w:val="24"/>
          </w:rPr>
          <w:t>https://praho.nevyhazujt</w:t>
        </w:r>
        <w:r w:rsidRPr="00A14BBF">
          <w:rPr>
            <w:rFonts w:cstheme="minorHAnsi"/>
            <w:szCs w:val="24"/>
          </w:rPr>
          <w:t>o.cz/</w:t>
        </w:r>
      </w:hyperlink>
    </w:p>
    <w:p w:rsidR="008845F3" w:rsidRPr="00A14BBF" w:rsidRDefault="008C12E6" w:rsidP="008845F3">
      <w:pPr>
        <w:pStyle w:val="Odstavecseseznamem"/>
        <w:numPr>
          <w:ilvl w:val="0"/>
          <w:numId w:val="13"/>
        </w:numPr>
        <w:spacing w:before="120"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centrum a sdílená dílna Z pokoje do pokoje v Praze“</w:t>
      </w:r>
      <w:r w:rsidRPr="00A14BBF">
        <w:rPr>
          <w:rFonts w:cstheme="minorHAnsi"/>
          <w:szCs w:val="24"/>
        </w:rPr>
        <w:t xml:space="preserve"> Z pokoje do pokoje je neziskovým projektem, který kombinuje re-use centrum se sdílenou dílnou a pořádá také kurzy pro veřejnost. Naším cílem je zachraňovat starý nábytek a vracet jej zpět do </w:t>
      </w:r>
      <w:r w:rsidRPr="00A14BBF">
        <w:rPr>
          <w:rFonts w:cstheme="minorHAnsi"/>
          <w:szCs w:val="24"/>
        </w:rPr>
        <w:t>koloběhu.</w:t>
      </w:r>
    </w:p>
    <w:p w:rsidR="008845F3" w:rsidRPr="00A14BBF" w:rsidRDefault="008C12E6" w:rsidP="00CE7EA7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a SWAP centrum v Zábřehu“</w:t>
      </w:r>
      <w:r w:rsidRPr="00A14BBF">
        <w:rPr>
          <w:rFonts w:cstheme="minorHAnsi"/>
          <w:szCs w:val="24"/>
        </w:rPr>
        <w:t xml:space="preserve"> Projekt RE-USE „Život starým věcem“ má za úkol redukovat množství odpadu prodloužením životního cyklu použitých, ale stále funkčních věcí. Projekt přispívá k ochraně životního prostředí a zároveň ve spolupráci s E</w:t>
      </w:r>
      <w:r w:rsidRPr="00A14BBF">
        <w:rPr>
          <w:rFonts w:cstheme="minorHAnsi"/>
          <w:szCs w:val="24"/>
        </w:rPr>
        <w:t>KO servis Zábřeh s.r.o. podporuje Psí útulek Zábřeh</w:t>
      </w:r>
      <w:r w:rsidR="00CE7EA7" w:rsidRPr="00A14BBF">
        <w:rPr>
          <w:rFonts w:cstheme="minorHAnsi"/>
          <w:szCs w:val="24"/>
        </w:rPr>
        <w:t>.</w:t>
      </w:r>
    </w:p>
    <w:p w:rsidR="008845F3" w:rsidRPr="00A14BBF" w:rsidRDefault="008C12E6" w:rsidP="00CE7EA7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 xml:space="preserve"> „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centrum Heřmanův Městec“</w:t>
      </w:r>
      <w:r w:rsidRPr="00A14BBF">
        <w:rPr>
          <w:rFonts w:cstheme="minorHAnsi"/>
          <w:szCs w:val="24"/>
        </w:rPr>
        <w:t xml:space="preserve"> občané mohou bezplatně odložit již používané předměty, které Re-Use centrum Heřmanův Městec prodává dalším zájemcům za symbolickou cenu. Pro konkrétní předmět tak zajistí</w:t>
      </w:r>
      <w:r w:rsidRPr="00A14BBF">
        <w:rPr>
          <w:rFonts w:cstheme="minorHAnsi"/>
          <w:szCs w:val="24"/>
        </w:rPr>
        <w:t xml:space="preserve"> jeho znovuvyužití. Získané finanční prostředky jsou využity k výsadbě zeleně v Heřmanově Městci.</w:t>
      </w:r>
    </w:p>
    <w:p w:rsidR="008845F3" w:rsidRPr="00A14BBF" w:rsidRDefault="008C12E6" w:rsidP="00CE7EA7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centrum Chrudim“</w:t>
      </w:r>
      <w:r w:rsidRPr="00A14BBF">
        <w:rPr>
          <w:rFonts w:cstheme="minorHAnsi"/>
          <w:szCs w:val="24"/>
        </w:rPr>
        <w:t xml:space="preserve"> občané mohou odkládat vytipovaný sortiment věcí, které už doma nepotřebují a které jsou ještě schopny dalšího využití. Ty si poté budo</w:t>
      </w:r>
      <w:r w:rsidRPr="00A14BBF">
        <w:rPr>
          <w:rFonts w:cstheme="minorHAnsi"/>
          <w:szCs w:val="24"/>
        </w:rPr>
        <w:t xml:space="preserve">u moci zájemci za drobný poplatek odnést. </w:t>
      </w:r>
    </w:p>
    <w:p w:rsidR="008845F3" w:rsidRPr="00A14BBF" w:rsidRDefault="008C12E6" w:rsidP="0010657B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 xml:space="preserve">„Kabinet CB – </w:t>
      </w:r>
      <w:proofErr w:type="spellStart"/>
      <w:r w:rsidRPr="00A14BBF">
        <w:rPr>
          <w:rFonts w:cstheme="minorHAnsi"/>
          <w:b/>
          <w:szCs w:val="24"/>
        </w:rPr>
        <w:t>reuse</w:t>
      </w:r>
      <w:proofErr w:type="spellEnd"/>
      <w:r w:rsidRPr="00A14BBF">
        <w:rPr>
          <w:rFonts w:cstheme="minorHAnsi"/>
          <w:b/>
          <w:szCs w:val="24"/>
        </w:rPr>
        <w:t xml:space="preserve"> centrum v Českých Budějovicích“</w:t>
      </w:r>
      <w:r w:rsidRPr="00A14BBF">
        <w:rPr>
          <w:rFonts w:cstheme="minorHAnsi"/>
          <w:szCs w:val="24"/>
        </w:rPr>
        <w:t xml:space="preserve">, svou činností vrátil prostřednictvím Materiální banky do oběhu v roce 2020 cca 26 tun nábytku a vybavení, cca 13 tun nábytku bylo renovováno a následně prodáno </w:t>
      </w:r>
      <w:r w:rsidRPr="00A14BBF">
        <w:rPr>
          <w:rFonts w:cstheme="minorHAnsi"/>
          <w:szCs w:val="24"/>
        </w:rPr>
        <w:t>a dalších 13 tun nábytku bylo prodáno bez dalších úprav. Jedná se o nábytek a vybavení, které díky realizaci projektu Kabinet CB neskončilo na skládce, ale bylo vráceno do oběhu. Celkem se jedná o cca 52 tun ušetřeného komunálního odpadu</w:t>
      </w:r>
      <w:r w:rsidR="0010657B" w:rsidRPr="00A14BBF">
        <w:rPr>
          <w:rFonts w:cstheme="minorHAnsi"/>
          <w:szCs w:val="24"/>
        </w:rPr>
        <w:t>.</w:t>
      </w:r>
    </w:p>
    <w:p w:rsidR="008845F3" w:rsidRPr="00A14BBF" w:rsidRDefault="008C12E6" w:rsidP="0010657B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 xml:space="preserve">„Nábytková farma </w:t>
      </w:r>
      <w:r w:rsidRPr="00A14BBF">
        <w:rPr>
          <w:rFonts w:cstheme="minorHAnsi"/>
          <w:b/>
          <w:szCs w:val="24"/>
        </w:rPr>
        <w:t>Kralupy nad Vltavou“</w:t>
      </w:r>
      <w:r w:rsidRPr="00A14BBF">
        <w:rPr>
          <w:rFonts w:cstheme="minorHAnsi"/>
          <w:szCs w:val="24"/>
        </w:rPr>
        <w:t xml:space="preserve"> (www.nabytkovafarma.cz) - Bazar s</w:t>
      </w:r>
      <w:r w:rsidR="00246632" w:rsidRPr="00A14BBF">
        <w:rPr>
          <w:rFonts w:cstheme="minorHAnsi"/>
          <w:szCs w:val="24"/>
        </w:rPr>
        <w:t> </w:t>
      </w:r>
      <w:r w:rsidRPr="00A14BBF">
        <w:rPr>
          <w:rFonts w:cstheme="minorHAnsi"/>
          <w:szCs w:val="24"/>
        </w:rPr>
        <w:t>nábytkem, dekoracemi a potřebami pro domácnost. Kromě obchodu s bazarovým nábytkem a bytovými doplňky poskytuje i řadu užitečných služeb. Stěhují, vyklízí, renovují a čalouní použitý nábytek. veškerý v</w:t>
      </w:r>
      <w:r w:rsidRPr="00A14BBF">
        <w:rPr>
          <w:rFonts w:cstheme="minorHAnsi"/>
          <w:szCs w:val="24"/>
        </w:rPr>
        <w:t xml:space="preserve">ýtěžek z prodeje, jde především na léčbu mužů a žen ze závislosti na návykových látkách a na podporu preventivních programů na </w:t>
      </w:r>
      <w:r w:rsidR="0010657B" w:rsidRPr="00A14BBF">
        <w:rPr>
          <w:rFonts w:cstheme="minorHAnsi"/>
          <w:szCs w:val="24"/>
        </w:rPr>
        <w:t xml:space="preserve">základních </w:t>
      </w:r>
      <w:r w:rsidR="00B8191B">
        <w:rPr>
          <w:rFonts w:cstheme="minorHAnsi"/>
          <w:szCs w:val="24"/>
        </w:rPr>
        <w:t>š</w:t>
      </w:r>
      <w:r w:rsidR="0010657B" w:rsidRPr="00A14BBF">
        <w:rPr>
          <w:rFonts w:cstheme="minorHAnsi"/>
          <w:szCs w:val="24"/>
        </w:rPr>
        <w:t>kolách</w:t>
      </w:r>
      <w:r w:rsidRPr="00A14BBF">
        <w:rPr>
          <w:rFonts w:cstheme="minorHAnsi"/>
          <w:szCs w:val="24"/>
        </w:rPr>
        <w:t>.</w:t>
      </w:r>
    </w:p>
    <w:p w:rsidR="008845F3" w:rsidRPr="00A14BBF" w:rsidRDefault="008C12E6" w:rsidP="00800CD0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Nevyhazujto</w:t>
      </w:r>
      <w:proofErr w:type="spellEnd"/>
      <w:r w:rsidRPr="00A14BBF">
        <w:rPr>
          <w:rFonts w:cstheme="minorHAnsi"/>
          <w:b/>
          <w:szCs w:val="24"/>
        </w:rPr>
        <w:t xml:space="preserve">“ </w:t>
      </w:r>
      <w:r w:rsidRPr="00A14BBF">
        <w:rPr>
          <w:rFonts w:cstheme="minorHAnsi"/>
          <w:szCs w:val="24"/>
        </w:rPr>
        <w:t>(www.nevyhazujto.cz) - Webová platforma, prostřednictvím které mohou lidé darovat věc, kterou u</w:t>
      </w:r>
      <w:r w:rsidRPr="00A14BBF">
        <w:rPr>
          <w:rFonts w:cstheme="minorHAnsi"/>
          <w:szCs w:val="24"/>
        </w:rPr>
        <w:t xml:space="preserve">ž nepotřebují, ale někomu jinému by se ještě mohla hodit. </w:t>
      </w:r>
      <w:r w:rsidR="00800CD0" w:rsidRPr="00A14BBF">
        <w:rPr>
          <w:rFonts w:cstheme="minorHAnsi"/>
          <w:szCs w:val="24"/>
        </w:rPr>
        <w:t>Služba je pos</w:t>
      </w:r>
      <w:r w:rsidR="00202758" w:rsidRPr="00A14BBF">
        <w:rPr>
          <w:rFonts w:cstheme="minorHAnsi"/>
          <w:szCs w:val="24"/>
        </w:rPr>
        <w:t>kytována z</w:t>
      </w:r>
      <w:r w:rsidRPr="00A14BBF">
        <w:rPr>
          <w:rFonts w:cstheme="minorHAnsi"/>
          <w:szCs w:val="24"/>
        </w:rPr>
        <w:t>darma, jen za odvoz.</w:t>
      </w:r>
    </w:p>
    <w:p w:rsidR="008845F3" w:rsidRPr="00A14BBF" w:rsidRDefault="008C12E6" w:rsidP="008845F3">
      <w:pPr>
        <w:pStyle w:val="Odstavecseseznamem"/>
        <w:numPr>
          <w:ilvl w:val="0"/>
          <w:numId w:val="13"/>
        </w:numPr>
        <w:spacing w:before="120" w:after="120" w:line="276" w:lineRule="auto"/>
        <w:ind w:left="714" w:hanging="357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„Nábytková banka Na-Bank“</w:t>
      </w:r>
      <w:r w:rsidRPr="00A14BBF">
        <w:rPr>
          <w:rFonts w:cstheme="minorHAnsi"/>
          <w:szCs w:val="24"/>
        </w:rPr>
        <w:t xml:space="preserve"> (https://na-bank.cz/) - V září 2018 vznikl projekt NA-BANK pro sociálně potřebné. Snaží se shánět prostředky a materiální dary k</w:t>
      </w:r>
      <w:r w:rsidRPr="00A14BBF">
        <w:rPr>
          <w:rFonts w:cstheme="minorHAnsi"/>
          <w:szCs w:val="24"/>
        </w:rPr>
        <w:t xml:space="preserve"> pomoci </w:t>
      </w:r>
      <w:r w:rsidRPr="00A14BBF">
        <w:rPr>
          <w:rFonts w:cstheme="minorHAnsi"/>
          <w:szCs w:val="24"/>
        </w:rPr>
        <w:lastRenderedPageBreak/>
        <w:t>potřebným. Nábytková banka řeší zejména nábytek, ale také další potřebné věci v</w:t>
      </w:r>
      <w:r w:rsidR="00246632" w:rsidRPr="00A14BBF">
        <w:rPr>
          <w:rFonts w:cstheme="minorHAnsi"/>
          <w:szCs w:val="24"/>
        </w:rPr>
        <w:t> </w:t>
      </w:r>
      <w:r w:rsidRPr="00A14BBF">
        <w:rPr>
          <w:rFonts w:cstheme="minorHAnsi"/>
          <w:szCs w:val="24"/>
        </w:rPr>
        <w:t xml:space="preserve">domácnosti, především elektrospotřebiče (pračky, ledničky aj.), oblečení, obuv, hygienické prostředky a hračky. Redistribuuje materiální pomoc na základě doporučení ve </w:t>
      </w:r>
      <w:r w:rsidRPr="00A14BBF">
        <w:rPr>
          <w:rFonts w:cstheme="minorHAnsi"/>
          <w:szCs w:val="24"/>
        </w:rPr>
        <w:t>spolupráci se statutárním městem Liberec (sociální bydlení a jeho programy) a</w:t>
      </w:r>
      <w:r w:rsidR="00246632" w:rsidRPr="00A14BBF">
        <w:rPr>
          <w:rFonts w:cstheme="minorHAnsi"/>
          <w:szCs w:val="24"/>
        </w:rPr>
        <w:t> </w:t>
      </w:r>
      <w:r w:rsidRPr="00A14BBF">
        <w:rPr>
          <w:rFonts w:cstheme="minorHAnsi"/>
          <w:szCs w:val="24"/>
        </w:rPr>
        <w:t>sociálními službami nestátních neziskových organizací, měst a obcí v Libereckém kraji. Jádrem práce je město Liberec, působnost organizace je krajská. Projekt realizuje spolek Ná</w:t>
      </w:r>
      <w:r w:rsidRPr="00A14BBF">
        <w:rPr>
          <w:rFonts w:cstheme="minorHAnsi"/>
          <w:szCs w:val="24"/>
        </w:rPr>
        <w:t xml:space="preserve">bytková banka, </w:t>
      </w:r>
      <w:proofErr w:type="spellStart"/>
      <w:r w:rsidRPr="00A14BBF">
        <w:rPr>
          <w:rFonts w:cstheme="minorHAnsi"/>
          <w:szCs w:val="24"/>
        </w:rPr>
        <w:t>z.s</w:t>
      </w:r>
      <w:proofErr w:type="spellEnd"/>
      <w:r w:rsidRPr="00A14BBF">
        <w:rPr>
          <w:rFonts w:cstheme="minorHAnsi"/>
          <w:szCs w:val="24"/>
        </w:rPr>
        <w:t>.</w:t>
      </w:r>
    </w:p>
    <w:p w:rsidR="008845F3" w:rsidRPr="00A14BBF" w:rsidRDefault="008C12E6" w:rsidP="00197049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„Opravárna“</w:t>
      </w:r>
      <w:r w:rsidRPr="00A14BBF">
        <w:rPr>
          <w:rFonts w:cstheme="minorHAnsi"/>
          <w:szCs w:val="24"/>
        </w:rPr>
        <w:t xml:space="preserve"> (www.opravarna.cz) - Největší síť odborných servisů i drobných opravářů v ČR. Možnost si vybrat mezi profesionálními servisy i hobby opraváři.</w:t>
      </w:r>
    </w:p>
    <w:p w:rsidR="008845F3" w:rsidRPr="00A14BBF" w:rsidRDefault="008C12E6" w:rsidP="007F6BC5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„Pilotní projekt Cirkulární dílna HYB4“</w:t>
      </w:r>
      <w:r w:rsidRPr="00A14BBF">
        <w:rPr>
          <w:rFonts w:cstheme="minorHAnsi"/>
          <w:szCs w:val="24"/>
        </w:rPr>
        <w:t xml:space="preserve"> (https://www.facebook.com/CirkularkaHYB4/) – Smyslem „Recyklační dílny“ je poukázat na možnosti recyklace a sdílení prostředků a</w:t>
      </w:r>
      <w:r w:rsidR="00246632" w:rsidRPr="00A14BBF">
        <w:rPr>
          <w:rFonts w:cstheme="minorHAnsi"/>
          <w:szCs w:val="24"/>
        </w:rPr>
        <w:t> </w:t>
      </w:r>
      <w:r w:rsidRPr="00A14BBF">
        <w:rPr>
          <w:rFonts w:cstheme="minorHAnsi"/>
          <w:szCs w:val="24"/>
        </w:rPr>
        <w:t>získané know-how poslouží i jako pilotní pokus k ověření zájmu občanů k budoucímu záměru na vybudování pražského Re-USE centra</w:t>
      </w:r>
      <w:r w:rsidRPr="00A14BBF">
        <w:rPr>
          <w:rFonts w:cstheme="minorHAnsi"/>
          <w:szCs w:val="24"/>
        </w:rPr>
        <w:t>, které se pokusí Magistrát hl. m. Prahy realizovat. Projekt „Recyklační dílny“ umožňuje vrátit do užití hodnotný, ale starší nábytek, který by jinak skončil na skládce. Dílna veřejnosti nabízí pravidelné workshopy, v jejichž rámci si zájemci budou moci be</w:t>
      </w:r>
      <w:r w:rsidRPr="00A14BBF">
        <w:rPr>
          <w:rFonts w:cstheme="minorHAnsi"/>
          <w:szCs w:val="24"/>
        </w:rPr>
        <w:t>zplatně a pod vedením profesionálních instruktorů opravit či vyrobit různé druhy nábytku. Projekt vznikl ve spolupráci Kampusu Hybernská při Filozofické fakultě Univerzity Karlovy za finanční podpory Pražských služeb, a. s., a ve spolupráci s Magistrátem h</w:t>
      </w:r>
      <w:r w:rsidRPr="00A14BBF">
        <w:rPr>
          <w:rFonts w:cstheme="minorHAnsi"/>
          <w:szCs w:val="24"/>
        </w:rPr>
        <w:t>l. m. Prahy, Knihovnou věcí a Institutem cirkulární ekonomiky.</w:t>
      </w:r>
    </w:p>
    <w:p w:rsidR="008845F3" w:rsidRPr="00A14BBF" w:rsidRDefault="008C12E6" w:rsidP="007F6BC5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</w:t>
      </w:r>
      <w:proofErr w:type="spellStart"/>
      <w:r w:rsidRPr="00A14BBF">
        <w:rPr>
          <w:rFonts w:cstheme="minorHAnsi"/>
          <w:b/>
          <w:szCs w:val="24"/>
        </w:rPr>
        <w:t>Zdrojovna</w:t>
      </w:r>
      <w:proofErr w:type="spellEnd"/>
      <w:r w:rsidRPr="00A14BBF">
        <w:rPr>
          <w:rFonts w:cstheme="minorHAnsi"/>
          <w:b/>
          <w:szCs w:val="24"/>
        </w:rPr>
        <w:t xml:space="preserve"> – </w:t>
      </w:r>
      <w:proofErr w:type="spellStart"/>
      <w:r w:rsidRPr="00A14BBF">
        <w:rPr>
          <w:rFonts w:cstheme="minorHAnsi"/>
          <w:b/>
          <w:szCs w:val="24"/>
        </w:rPr>
        <w:t>freeshop</w:t>
      </w:r>
      <w:proofErr w:type="spellEnd"/>
      <w:r w:rsidRPr="00A14BBF">
        <w:rPr>
          <w:rFonts w:cstheme="minorHAnsi"/>
          <w:b/>
          <w:szCs w:val="24"/>
        </w:rPr>
        <w:t>“</w:t>
      </w:r>
      <w:r w:rsidRPr="00A14BBF">
        <w:rPr>
          <w:rFonts w:cstheme="minorHAnsi"/>
          <w:szCs w:val="24"/>
        </w:rPr>
        <w:t xml:space="preserve"> (https://cs-cz.facebook.com/</w:t>
      </w:r>
      <w:proofErr w:type="spellStart"/>
      <w:r w:rsidRPr="00A14BBF">
        <w:rPr>
          <w:rFonts w:cstheme="minorHAnsi"/>
          <w:szCs w:val="24"/>
        </w:rPr>
        <w:t>zdrojovna</w:t>
      </w:r>
      <w:proofErr w:type="spellEnd"/>
      <w:r w:rsidRPr="00A14BBF">
        <w:rPr>
          <w:rFonts w:cstheme="minorHAnsi"/>
          <w:szCs w:val="24"/>
        </w:rPr>
        <w:t xml:space="preserve">) - Kdokoliv může do prostor </w:t>
      </w:r>
      <w:proofErr w:type="spellStart"/>
      <w:r w:rsidRPr="00A14BBF">
        <w:rPr>
          <w:rFonts w:cstheme="minorHAnsi"/>
          <w:szCs w:val="24"/>
        </w:rPr>
        <w:t>Freeshopu</w:t>
      </w:r>
      <w:proofErr w:type="spellEnd"/>
      <w:r w:rsidRPr="00A14BBF">
        <w:rPr>
          <w:rFonts w:cstheme="minorHAnsi"/>
          <w:szCs w:val="24"/>
        </w:rPr>
        <w:t xml:space="preserve"> donést to, co už nepotřebuje, a zároveň si odnést jakoukoliv odloženou věc, která se mu líbí n</w:t>
      </w:r>
      <w:r w:rsidRPr="00A14BBF">
        <w:rPr>
          <w:rFonts w:cstheme="minorHAnsi"/>
          <w:szCs w:val="24"/>
        </w:rPr>
        <w:t>ebo hodí.</w:t>
      </w:r>
    </w:p>
    <w:p w:rsidR="008845F3" w:rsidRPr="00A14BBF" w:rsidRDefault="008C12E6" w:rsidP="007F6BC5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 xml:space="preserve">„Druhý život nábytku“ </w:t>
      </w:r>
      <w:hyperlink r:id="rId57" w:history="1">
        <w:r w:rsidRPr="00A14BBF">
          <w:rPr>
            <w:rStyle w:val="Hypertextovodkaz"/>
            <w:rFonts w:cstheme="minorHAnsi"/>
            <w:szCs w:val="24"/>
          </w:rPr>
          <w:t>https://www.druhyzivotnabytku.cz/</w:t>
        </w:r>
      </w:hyperlink>
      <w:r w:rsidRPr="00A14BBF">
        <w:rPr>
          <w:rFonts w:cstheme="minorHAnsi"/>
          <w:szCs w:val="24"/>
        </w:rPr>
        <w:t xml:space="preserve">, je aktivitou prodejce nábytku IKEA, který odkupuje použitý nábytek IKEA a prostřednictvím oddělení </w:t>
      </w:r>
      <w:hyperlink r:id="rId58" w:history="1">
        <w:proofErr w:type="spellStart"/>
        <w:r w:rsidRPr="00A14BBF">
          <w:rPr>
            <w:rStyle w:val="Hypertextovodkaz"/>
            <w:rFonts w:cstheme="minorHAnsi"/>
            <w:szCs w:val="24"/>
          </w:rPr>
          <w:t>Circular</w:t>
        </w:r>
        <w:proofErr w:type="spellEnd"/>
        <w:r w:rsidRPr="00A14BBF">
          <w:rPr>
            <w:rStyle w:val="Hypertextovodkaz"/>
            <w:rFonts w:cstheme="minorHAnsi"/>
            <w:szCs w:val="24"/>
          </w:rPr>
          <w:t xml:space="preserve"> Hub</w:t>
        </w:r>
      </w:hyperlink>
      <w:r w:rsidRPr="00A14BBF">
        <w:rPr>
          <w:rFonts w:cstheme="minorHAnsi"/>
          <w:szCs w:val="24"/>
        </w:rPr>
        <w:t xml:space="preserve">, </w:t>
      </w:r>
      <w:proofErr w:type="spellStart"/>
      <w:r w:rsidRPr="00A14BBF">
        <w:rPr>
          <w:rFonts w:cstheme="minorHAnsi"/>
          <w:szCs w:val="24"/>
        </w:rPr>
        <w:t>přeprodává</w:t>
      </w:r>
      <w:proofErr w:type="spellEnd"/>
      <w:r w:rsidRPr="00A14BBF">
        <w:rPr>
          <w:rFonts w:cstheme="minorHAnsi"/>
          <w:szCs w:val="24"/>
        </w:rPr>
        <w:t xml:space="preserve"> tento použitý nábytek dalším zákazníkům.</w:t>
      </w:r>
    </w:p>
    <w:p w:rsidR="008845F3" w:rsidRPr="00A14BBF" w:rsidRDefault="008C12E6" w:rsidP="00FC6AD7">
      <w:pPr>
        <w:pStyle w:val="Odstavecseseznamem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cstheme="minorHAnsi"/>
          <w:szCs w:val="24"/>
        </w:rPr>
      </w:pPr>
      <w:r w:rsidRPr="00A14BBF">
        <w:rPr>
          <w:rFonts w:cstheme="minorHAnsi"/>
          <w:b/>
          <w:szCs w:val="24"/>
        </w:rPr>
        <w:t>„Digitální odpadové tržiště“</w:t>
      </w:r>
      <w:r w:rsidRPr="00A14BBF">
        <w:rPr>
          <w:rFonts w:cstheme="minorHAnsi"/>
          <w:szCs w:val="24"/>
        </w:rPr>
        <w:t xml:space="preserve"> –</w:t>
      </w:r>
      <w:hyperlink r:id="rId59" w:history="1">
        <w:r w:rsidRPr="00A14BBF">
          <w:rPr>
            <w:rStyle w:val="Hypertextovodkaz"/>
            <w:rFonts w:cstheme="minorHAnsi"/>
            <w:szCs w:val="24"/>
          </w:rPr>
          <w:t>https://www.cyrkl.com/cs/</w:t>
        </w:r>
      </w:hyperlink>
      <w:r w:rsidRPr="00A14BBF">
        <w:rPr>
          <w:rFonts w:cstheme="minorHAnsi"/>
          <w:szCs w:val="24"/>
        </w:rPr>
        <w:t xml:space="preserve"> je elektronická burza druhotných surovin pro všechny zástupce firem a obcí, které buď nabízejí, nebo poptávají sekundární zdroje. Na burze lze nabízet veškeré recykláty, </w:t>
      </w:r>
      <w:r w:rsidR="00E934D5" w:rsidRPr="00A14BBF">
        <w:rPr>
          <w:rFonts w:cstheme="minorHAnsi"/>
          <w:szCs w:val="24"/>
        </w:rPr>
        <w:t xml:space="preserve">vedlejší </w:t>
      </w:r>
      <w:r w:rsidRPr="00A14BBF">
        <w:rPr>
          <w:rFonts w:cstheme="minorHAnsi"/>
          <w:szCs w:val="24"/>
        </w:rPr>
        <w:t>produkty výroby a obecně druhotné suroviny z různý</w:t>
      </w:r>
      <w:r w:rsidRPr="00A14BBF">
        <w:rPr>
          <w:rFonts w:cstheme="minorHAnsi"/>
          <w:szCs w:val="24"/>
        </w:rPr>
        <w:t>ch druhů plastů, stavebních materiálů, papíru, textilu, skla</w:t>
      </w:r>
      <w:r w:rsidR="00E934D5" w:rsidRPr="00A14BBF">
        <w:rPr>
          <w:rFonts w:cstheme="minorHAnsi"/>
          <w:szCs w:val="24"/>
        </w:rPr>
        <w:t xml:space="preserve"> </w:t>
      </w:r>
      <w:r w:rsidRPr="00A14BBF">
        <w:rPr>
          <w:rFonts w:cstheme="minorHAnsi"/>
          <w:szCs w:val="24"/>
        </w:rPr>
        <w:t>aj., které nejsou v režimu odpadu.</w:t>
      </w:r>
    </w:p>
    <w:p w:rsidR="008845F3" w:rsidRPr="00A14BBF" w:rsidRDefault="008C12E6" w:rsidP="008845F3">
      <w:pPr>
        <w:pStyle w:val="Odstavecseseznamem"/>
        <w:numPr>
          <w:ilvl w:val="0"/>
          <w:numId w:val="5"/>
        </w:numPr>
        <w:spacing w:after="60" w:line="276" w:lineRule="auto"/>
        <w:ind w:left="714" w:hanging="357"/>
        <w:contextualSpacing w:val="0"/>
        <w:rPr>
          <w:rFonts w:cstheme="minorHAnsi"/>
          <w:b/>
          <w:u w:val="single"/>
        </w:rPr>
      </w:pPr>
      <w:r w:rsidRPr="00A14BBF">
        <w:rPr>
          <w:rFonts w:cstheme="minorHAnsi"/>
          <w:b/>
          <w:u w:val="single"/>
        </w:rPr>
        <w:t xml:space="preserve">Podpora domácího kompostování </w:t>
      </w:r>
    </w:p>
    <w:p w:rsidR="008845F3" w:rsidRPr="00A14BBF" w:rsidRDefault="008C12E6" w:rsidP="008845F3">
      <w:pPr>
        <w:spacing w:after="120" w:line="276" w:lineRule="auto"/>
        <w:ind w:left="709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V letech 2019–2020 bylo z OPŽP 2014–2020 v rámci prioritní osy 3, SC 3.1 - Prevence vzniku odpadů podpořeno zhruba 80 000 kompostérů. </w:t>
      </w:r>
    </w:p>
    <w:p w:rsidR="008845F3" w:rsidRPr="00A14BBF" w:rsidRDefault="008C12E6" w:rsidP="008845F3">
      <w:pPr>
        <w:spacing w:after="120" w:line="276" w:lineRule="auto"/>
        <w:ind w:left="709"/>
        <w:rPr>
          <w:rFonts w:cstheme="minorHAnsi"/>
          <w:bCs/>
        </w:rPr>
      </w:pPr>
      <w:r w:rsidRPr="00A14BBF">
        <w:rPr>
          <w:rFonts w:cstheme="minorHAnsi"/>
          <w:bCs/>
        </w:rPr>
        <w:t>Celkově bylo od počátku projektu domácích kompostérů pro občany podpořeno kolem 180 000 kompostérů. Projekty byly podporo</w:t>
      </w:r>
      <w:r w:rsidRPr="00A14BBF">
        <w:rPr>
          <w:rFonts w:cstheme="minorHAnsi"/>
          <w:bCs/>
        </w:rPr>
        <w:t>vány v rámci celkem pěti výzev (č.</w:t>
      </w:r>
      <w:r w:rsidR="0010657B" w:rsidRPr="00A14BBF">
        <w:rPr>
          <w:rFonts w:cstheme="minorHAnsi"/>
          <w:bCs/>
        </w:rPr>
        <w:t> </w:t>
      </w:r>
      <w:r w:rsidRPr="00A14BBF">
        <w:rPr>
          <w:rFonts w:cstheme="minorHAnsi"/>
          <w:bCs/>
        </w:rPr>
        <w:t>40.,</w:t>
      </w:r>
      <w:r w:rsidR="0010657B" w:rsidRPr="00A14BBF">
        <w:rPr>
          <w:rFonts w:cstheme="minorHAnsi"/>
          <w:bCs/>
        </w:rPr>
        <w:t xml:space="preserve"> </w:t>
      </w:r>
      <w:r w:rsidRPr="00A14BBF">
        <w:rPr>
          <w:rFonts w:cstheme="minorHAnsi"/>
          <w:bCs/>
        </w:rPr>
        <w:t>68.,</w:t>
      </w:r>
      <w:r w:rsidR="0010657B" w:rsidRPr="00A14BBF">
        <w:rPr>
          <w:rFonts w:cstheme="minorHAnsi"/>
          <w:bCs/>
        </w:rPr>
        <w:t xml:space="preserve"> </w:t>
      </w:r>
      <w:r w:rsidRPr="00A14BBF">
        <w:rPr>
          <w:rFonts w:cstheme="minorHAnsi"/>
          <w:bCs/>
        </w:rPr>
        <w:t>84.,</w:t>
      </w:r>
      <w:r w:rsidR="0010657B" w:rsidRPr="00A14BBF">
        <w:rPr>
          <w:rFonts w:cstheme="minorHAnsi"/>
          <w:bCs/>
        </w:rPr>
        <w:t xml:space="preserve"> </w:t>
      </w:r>
      <w:r w:rsidRPr="00A14BBF">
        <w:rPr>
          <w:rFonts w:cstheme="minorHAnsi"/>
          <w:bCs/>
        </w:rPr>
        <w:t>103. a 122</w:t>
      </w:r>
      <w:r w:rsidR="008F6B51">
        <w:rPr>
          <w:rFonts w:cstheme="minorHAnsi"/>
          <w:bCs/>
        </w:rPr>
        <w:t>.</w:t>
      </w:r>
      <w:r w:rsidRPr="00A14BBF">
        <w:rPr>
          <w:rFonts w:cstheme="minorHAnsi"/>
          <w:bCs/>
        </w:rPr>
        <w:t>).</w:t>
      </w:r>
    </w:p>
    <w:p w:rsidR="00E43B5B" w:rsidRPr="00A14BBF" w:rsidRDefault="008C12E6" w:rsidP="00225EB1">
      <w:pPr>
        <w:numPr>
          <w:ilvl w:val="0"/>
          <w:numId w:val="5"/>
        </w:numPr>
        <w:spacing w:after="120" w:line="276" w:lineRule="auto"/>
        <w:ind w:left="714" w:hanging="357"/>
        <w:rPr>
          <w:rFonts w:cstheme="minorHAnsi"/>
          <w:b/>
          <w:bCs/>
          <w:u w:val="single"/>
        </w:rPr>
      </w:pPr>
      <w:r w:rsidRPr="00A14BBF">
        <w:rPr>
          <w:rFonts w:cstheme="minorHAnsi"/>
          <w:b/>
          <w:bCs/>
          <w:u w:val="single"/>
        </w:rPr>
        <w:lastRenderedPageBreak/>
        <w:t>Textilní odpad</w:t>
      </w:r>
    </w:p>
    <w:p w:rsidR="00E43B5B" w:rsidRPr="00A14BBF" w:rsidRDefault="008C12E6" w:rsidP="00E43B5B">
      <w:pPr>
        <w:numPr>
          <w:ilvl w:val="0"/>
          <w:numId w:val="46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Projekt </w:t>
      </w:r>
      <w:r w:rsidRPr="00A14BBF">
        <w:rPr>
          <w:rFonts w:cstheme="minorHAnsi"/>
          <w:b/>
          <w:bCs/>
        </w:rPr>
        <w:t>„</w:t>
      </w:r>
      <w:proofErr w:type="spellStart"/>
      <w:r w:rsidRPr="00A14BBF">
        <w:rPr>
          <w:rFonts w:cstheme="minorHAnsi"/>
          <w:b/>
          <w:bCs/>
        </w:rPr>
        <w:t>ReShare</w:t>
      </w:r>
      <w:proofErr w:type="spellEnd"/>
      <w:r w:rsidRPr="00A14BBF">
        <w:rPr>
          <w:rFonts w:cstheme="minorHAnsi"/>
          <w:b/>
          <w:bCs/>
        </w:rPr>
        <w:t>“</w:t>
      </w:r>
      <w:r w:rsidRPr="00A14BBF">
        <w:rPr>
          <w:rFonts w:cstheme="minorHAnsi"/>
          <w:bCs/>
        </w:rPr>
        <w:t xml:space="preserve"> Armády spásy je zaměřený na využití, zpracování a prodej darů od individuálních i firemních dárců. Sběr obnošeného textilu a obuvi do stacionárních kontejnerů </w:t>
      </w:r>
      <w:r w:rsidRPr="00A14BBF">
        <w:rPr>
          <w:rFonts w:cstheme="minorHAnsi"/>
          <w:bCs/>
        </w:rPr>
        <w:t>v Praze, Brně, Ostravě Karlových Varech i dalších městech.</w:t>
      </w:r>
    </w:p>
    <w:p w:rsidR="00E43B5B" w:rsidRPr="00A14BBF" w:rsidRDefault="008C12E6" w:rsidP="00225EB1">
      <w:pPr>
        <w:numPr>
          <w:ilvl w:val="0"/>
          <w:numId w:val="46"/>
        </w:numPr>
        <w:spacing w:after="12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Projekt společnosti POTEX je ekologicko-charitativní projekt, který spočívá ve sběru, redistribuci a následném zpracování použitého a stále použitelného textilu. Spravuje téměř 600 kontejnerů a </w:t>
      </w:r>
      <w:r w:rsidRPr="00A14BBF">
        <w:rPr>
          <w:rFonts w:cstheme="minorHAnsi"/>
          <w:bCs/>
        </w:rPr>
        <w:t>vybere každoročně téměř 3 000 tun použitého textilu.</w:t>
      </w:r>
    </w:p>
    <w:p w:rsidR="00E43B5B" w:rsidRPr="00A14BBF" w:rsidRDefault="008C12E6" w:rsidP="00225EB1">
      <w:pPr>
        <w:numPr>
          <w:ilvl w:val="0"/>
          <w:numId w:val="46"/>
        </w:numPr>
        <w:spacing w:after="12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Společnost DIMATEX CS – provádí sběr použitého textilu a třídění textilií. Sběrné kontejnery firmy </w:t>
      </w:r>
      <w:proofErr w:type="spellStart"/>
      <w:r w:rsidRPr="00A14BBF">
        <w:rPr>
          <w:rFonts w:cstheme="minorHAnsi"/>
          <w:bCs/>
        </w:rPr>
        <w:t>Dimatex</w:t>
      </w:r>
      <w:proofErr w:type="spellEnd"/>
      <w:r w:rsidRPr="00A14BBF">
        <w:rPr>
          <w:rFonts w:cstheme="minorHAnsi"/>
          <w:bCs/>
        </w:rPr>
        <w:t xml:space="preserve"> CS, spol. s r. o. jsou určeny k druhotnému využití textilních materiálů. Suroviny získané z nich</w:t>
      </w:r>
      <w:r w:rsidRPr="00A14BBF">
        <w:rPr>
          <w:rFonts w:cstheme="minorHAnsi"/>
          <w:bCs/>
        </w:rPr>
        <w:t xml:space="preserve"> jsou poskytnuty z části charitativním organizacím a</w:t>
      </w:r>
      <w:r w:rsidR="00246632" w:rsidRPr="00A14BBF">
        <w:rPr>
          <w:rFonts w:cstheme="minorHAnsi"/>
          <w:bCs/>
        </w:rPr>
        <w:t> </w:t>
      </w:r>
      <w:r w:rsidRPr="00A14BBF">
        <w:rPr>
          <w:rFonts w:cstheme="minorHAnsi"/>
          <w:bCs/>
        </w:rPr>
        <w:t>z</w:t>
      </w:r>
      <w:r w:rsidR="00246632" w:rsidRPr="00A14BBF">
        <w:rPr>
          <w:rFonts w:cstheme="minorHAnsi"/>
          <w:bCs/>
        </w:rPr>
        <w:t> </w:t>
      </w:r>
      <w:r w:rsidRPr="00A14BBF">
        <w:rPr>
          <w:rFonts w:cstheme="minorHAnsi"/>
          <w:bCs/>
        </w:rPr>
        <w:t>části jsou předány k následné recyklaci. V současné době spolupracujeme při sběru textilu s cca 600 obcemi. Ročně se vytřídí ca 6500 tun textilu.</w:t>
      </w:r>
    </w:p>
    <w:p w:rsidR="00E43B5B" w:rsidRPr="00A14BBF" w:rsidRDefault="008C12E6" w:rsidP="00E43B5B">
      <w:pPr>
        <w:numPr>
          <w:ilvl w:val="0"/>
          <w:numId w:val="46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>Diakonie Broumov – počet kontejnerů přes 400. Ročně ses</w:t>
      </w:r>
      <w:r w:rsidRPr="00A14BBF">
        <w:rPr>
          <w:rFonts w:cstheme="minorHAnsi"/>
          <w:bCs/>
        </w:rPr>
        <w:t>bírá 6 až 8 tisíc tun použitého textilu v rámci celé ČR. Veškerý sběr textilního materiálu, včetně sběru z</w:t>
      </w:r>
      <w:r w:rsidR="00246632" w:rsidRPr="00A14BBF">
        <w:rPr>
          <w:rFonts w:cstheme="minorHAnsi"/>
          <w:bCs/>
        </w:rPr>
        <w:t> </w:t>
      </w:r>
      <w:r w:rsidRPr="00A14BBF">
        <w:rPr>
          <w:rFonts w:cstheme="minorHAnsi"/>
          <w:bCs/>
        </w:rPr>
        <w:t>kontejnerů, dokáže Diakonie Broumov přetřídit, využít nebo zpracovat. Vybudovala vlastní třídírnu a dále i vlastní provoz na zpracování textilu již n</w:t>
      </w:r>
      <w:r w:rsidRPr="00A14BBF">
        <w:rPr>
          <w:rFonts w:cstheme="minorHAnsi"/>
          <w:bCs/>
        </w:rPr>
        <w:t>evhodného k nošení či nějak poškozeného na čistící plachetky. Z materiálu, který by jinak skončil na skládkách, smysluplně využije cca 70 %.</w:t>
      </w:r>
    </w:p>
    <w:p w:rsidR="00E43B5B" w:rsidRPr="00A14BBF" w:rsidRDefault="008C12E6" w:rsidP="00E43B5B">
      <w:pPr>
        <w:numPr>
          <w:ilvl w:val="0"/>
          <w:numId w:val="46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Společnost Textil </w:t>
      </w:r>
      <w:proofErr w:type="spellStart"/>
      <w:r w:rsidRPr="00A14BBF">
        <w:rPr>
          <w:rFonts w:cstheme="minorHAnsi"/>
          <w:bCs/>
        </w:rPr>
        <w:t>Eco</w:t>
      </w:r>
      <w:proofErr w:type="spellEnd"/>
      <w:r w:rsidRPr="00A14BBF">
        <w:rPr>
          <w:rFonts w:cstheme="minorHAnsi"/>
          <w:bCs/>
        </w:rPr>
        <w:t xml:space="preserve"> – počet kontejnerů 4640 kontejnerů a množství vysbíraného textilu 32 000 tun. Kontejnery jsou</w:t>
      </w:r>
      <w:r w:rsidRPr="00A14BBF">
        <w:rPr>
          <w:rFonts w:cstheme="minorHAnsi"/>
          <w:bCs/>
        </w:rPr>
        <w:t xml:space="preserve"> umístěny ve více než 2800 obcích. K</w:t>
      </w:r>
      <w:r w:rsidRPr="00A14BBF">
        <w:rPr>
          <w:rFonts w:cstheme="minorHAnsi"/>
          <w:bCs/>
          <w:iCs/>
        </w:rPr>
        <w:t>ontejnery TUČŇÁK této společnosti vyhrály ZLATOU MEDIALY 2019 na veletrhu URBIS.</w:t>
      </w:r>
    </w:p>
    <w:p w:rsidR="00E43B5B" w:rsidRPr="00A14BBF" w:rsidRDefault="008C12E6" w:rsidP="00225EB1">
      <w:pPr>
        <w:numPr>
          <w:ilvl w:val="0"/>
          <w:numId w:val="46"/>
        </w:numPr>
        <w:spacing w:after="360" w:line="276" w:lineRule="auto"/>
        <w:ind w:left="714" w:hanging="357"/>
        <w:rPr>
          <w:rFonts w:cstheme="minorHAnsi"/>
          <w:bCs/>
        </w:rPr>
      </w:pPr>
      <w:r w:rsidRPr="00A14BBF">
        <w:rPr>
          <w:rFonts w:cstheme="minorHAnsi"/>
          <w:bCs/>
        </w:rPr>
        <w:t>FCC Česká republika, s.r.o., zahájila službu sběru použitého oblečení pomocí speciálních kontejnerů v ČR v červenci 2012 na základě úspěšné</w:t>
      </w:r>
      <w:r w:rsidRPr="00A14BBF">
        <w:rPr>
          <w:rFonts w:cstheme="minorHAnsi"/>
          <w:bCs/>
        </w:rPr>
        <w:t>ho fungování tohoto modelu v Rakousku. Společnost FCC v ČR hradí z peněz získaných prodejem použitého oblečení náklady spojené se sběrem a přepravou a dále přispívá na charitativní účely.</w:t>
      </w:r>
    </w:p>
    <w:p w:rsidR="00E43B5B" w:rsidRPr="00A14BBF" w:rsidRDefault="008C12E6" w:rsidP="00E43B5B">
      <w:pPr>
        <w:numPr>
          <w:ilvl w:val="0"/>
          <w:numId w:val="5"/>
        </w:numPr>
        <w:spacing w:after="120" w:line="276" w:lineRule="auto"/>
        <w:rPr>
          <w:rFonts w:cstheme="minorHAnsi"/>
          <w:b/>
          <w:bCs/>
          <w:u w:val="single"/>
        </w:rPr>
      </w:pPr>
      <w:r w:rsidRPr="00A14BBF">
        <w:rPr>
          <w:rFonts w:cstheme="minorHAnsi"/>
          <w:b/>
          <w:bCs/>
          <w:u w:val="single"/>
        </w:rPr>
        <w:t xml:space="preserve">Spolupráce MŽP s nestátními neziskovými organizacemi </w:t>
      </w:r>
    </w:p>
    <w:p w:rsidR="00075A0E" w:rsidRPr="00A14BBF" w:rsidRDefault="008C12E6" w:rsidP="00E43B5B">
      <w:pPr>
        <w:spacing w:after="120" w:line="276" w:lineRule="auto"/>
        <w:ind w:left="709"/>
        <w:rPr>
          <w:rFonts w:cstheme="minorHAnsi"/>
          <w:bCs/>
        </w:rPr>
      </w:pPr>
      <w:r w:rsidRPr="00075A0E">
        <w:rPr>
          <w:rFonts w:cstheme="minorHAnsi"/>
          <w:bCs/>
        </w:rPr>
        <w:t>MŽP dlouhodobě</w:t>
      </w:r>
      <w:r w:rsidRPr="00075A0E">
        <w:rPr>
          <w:rFonts w:cstheme="minorHAnsi"/>
          <w:bCs/>
        </w:rPr>
        <w:t xml:space="preserve"> podporuje aktivity nestátních neziskových organizací (NNO) v oblasti prevence vzniku odpadu prostřednictvím „Programu na podporu projektů nestátních neziskových organizací“. Jedná se o neinvestiční dotace poskytované na příslušný kalendářní rok. Maximální</w:t>
      </w:r>
      <w:r w:rsidRPr="00075A0E">
        <w:rPr>
          <w:rFonts w:cstheme="minorHAnsi"/>
          <w:bCs/>
        </w:rPr>
        <w:t xml:space="preserve"> výše dotace na jeden projekt je 250 tis. Kč.</w:t>
      </w:r>
    </w:p>
    <w:p w:rsidR="00E43B5B" w:rsidRDefault="008C12E6" w:rsidP="00001981">
      <w:pPr>
        <w:pStyle w:val="Odstavecseseznamem"/>
        <w:spacing w:before="120" w:after="360" w:line="276" w:lineRule="auto"/>
        <w:ind w:left="709"/>
        <w:contextualSpacing w:val="0"/>
        <w:rPr>
          <w:rFonts w:cstheme="minorHAnsi"/>
          <w:bCs/>
        </w:rPr>
      </w:pPr>
      <w:r w:rsidRPr="00A14BBF">
        <w:rPr>
          <w:rFonts w:cstheme="minorHAnsi"/>
          <w:szCs w:val="24"/>
        </w:rPr>
        <w:t>Seznam podpořených projektů je uveden v příloze.</w:t>
      </w:r>
      <w:r w:rsidRPr="00A14BBF">
        <w:rPr>
          <w:rFonts w:cstheme="minorHAnsi"/>
          <w:bCs/>
        </w:rPr>
        <w:t xml:space="preserve"> </w:t>
      </w:r>
    </w:p>
    <w:p w:rsidR="00187E02" w:rsidRPr="00A14BBF" w:rsidRDefault="008C12E6" w:rsidP="00187E02">
      <w:pPr>
        <w:numPr>
          <w:ilvl w:val="0"/>
          <w:numId w:val="5"/>
        </w:numPr>
        <w:spacing w:after="120" w:line="276" w:lineRule="auto"/>
        <w:rPr>
          <w:rFonts w:cstheme="minorHAnsi"/>
          <w:b/>
          <w:bCs/>
          <w:u w:val="single"/>
        </w:rPr>
      </w:pPr>
      <w:r w:rsidRPr="00A14BBF">
        <w:rPr>
          <w:rFonts w:cstheme="minorHAnsi"/>
          <w:b/>
          <w:bCs/>
          <w:u w:val="single"/>
        </w:rPr>
        <w:t xml:space="preserve">Charitativní organizace </w:t>
      </w:r>
    </w:p>
    <w:p w:rsidR="00187E02" w:rsidRDefault="008C12E6" w:rsidP="00187E02">
      <w:pPr>
        <w:spacing w:after="120" w:line="276" w:lineRule="auto"/>
        <w:ind w:left="709"/>
        <w:rPr>
          <w:rFonts w:cstheme="minorHAnsi"/>
          <w:bCs/>
        </w:rPr>
      </w:pPr>
      <w:r w:rsidRPr="00A14BBF">
        <w:rPr>
          <w:rFonts w:cstheme="minorHAnsi"/>
          <w:bCs/>
        </w:rPr>
        <w:t>Do oblasti předcházení vzniku odpadů zasahuje i působnost charitativních organizací v ČR. Je možné identifikovat řadu činností charitat</w:t>
      </w:r>
      <w:r w:rsidRPr="00A14BBF">
        <w:rPr>
          <w:rFonts w:cstheme="minorHAnsi"/>
          <w:bCs/>
        </w:rPr>
        <w:t xml:space="preserve">ivních organizací, které přímo </w:t>
      </w:r>
      <w:r w:rsidRPr="00A14BBF">
        <w:rPr>
          <w:rFonts w:cstheme="minorHAnsi"/>
          <w:bCs/>
        </w:rPr>
        <w:lastRenderedPageBreak/>
        <w:t>přispívají k předcházení vzniku odpadů, resp. prodlužují životnost některých výrobků. Níže jsou uvedeny nejznámější registrované charitativní organizace v ČR, které mají ve své náplni i činnosti, které přispívají k prevenci v</w:t>
      </w:r>
      <w:r w:rsidRPr="00A14BBF">
        <w:rPr>
          <w:rFonts w:cstheme="minorHAnsi"/>
          <w:bCs/>
        </w:rPr>
        <w:t>zniku odpadů:</w:t>
      </w:r>
    </w:p>
    <w:p w:rsidR="00187E02" w:rsidRPr="00A14BBF" w:rsidRDefault="008C12E6" w:rsidP="00187E02">
      <w:pPr>
        <w:numPr>
          <w:ilvl w:val="1"/>
          <w:numId w:val="25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>Červený kříž,</w:t>
      </w:r>
    </w:p>
    <w:p w:rsidR="00187E02" w:rsidRPr="00A14BBF" w:rsidRDefault="008C12E6" w:rsidP="00187E02">
      <w:pPr>
        <w:numPr>
          <w:ilvl w:val="1"/>
          <w:numId w:val="25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>Charita Česká republika,</w:t>
      </w:r>
    </w:p>
    <w:p w:rsidR="00187E02" w:rsidRPr="00A14BBF" w:rsidRDefault="008C12E6" w:rsidP="00187E02">
      <w:pPr>
        <w:numPr>
          <w:ilvl w:val="1"/>
          <w:numId w:val="25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>Diakonie Broumov,</w:t>
      </w:r>
    </w:p>
    <w:p w:rsidR="00187E02" w:rsidRPr="00A14BBF" w:rsidRDefault="008C12E6" w:rsidP="00187E02">
      <w:pPr>
        <w:numPr>
          <w:ilvl w:val="1"/>
          <w:numId w:val="25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>Člověk v tísni,</w:t>
      </w:r>
    </w:p>
    <w:p w:rsidR="00187E02" w:rsidRPr="00A14BBF" w:rsidRDefault="008C12E6" w:rsidP="00187E02">
      <w:pPr>
        <w:numPr>
          <w:ilvl w:val="1"/>
          <w:numId w:val="25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>ADRA,</w:t>
      </w:r>
    </w:p>
    <w:p w:rsidR="00187E02" w:rsidRPr="00A14BBF" w:rsidRDefault="008C12E6" w:rsidP="00187E02">
      <w:pPr>
        <w:numPr>
          <w:ilvl w:val="1"/>
          <w:numId w:val="25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Česká Federace potravinových bank, </w:t>
      </w:r>
    </w:p>
    <w:p w:rsidR="00187E02" w:rsidRPr="00A14BBF" w:rsidRDefault="008C12E6" w:rsidP="00187E02">
      <w:pPr>
        <w:numPr>
          <w:ilvl w:val="1"/>
          <w:numId w:val="25"/>
        </w:numPr>
        <w:spacing w:after="360" w:line="276" w:lineRule="auto"/>
        <w:ind w:left="2001" w:hanging="357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Fond ohrožených dětí a další. </w:t>
      </w:r>
    </w:p>
    <w:p w:rsidR="00187E02" w:rsidRPr="00A14BBF" w:rsidRDefault="008C12E6" w:rsidP="00187E02">
      <w:pPr>
        <w:numPr>
          <w:ilvl w:val="0"/>
          <w:numId w:val="5"/>
        </w:numPr>
        <w:spacing w:after="120" w:line="276" w:lineRule="auto"/>
        <w:rPr>
          <w:rFonts w:cstheme="minorHAnsi"/>
          <w:b/>
          <w:bCs/>
          <w:u w:val="single"/>
        </w:rPr>
      </w:pPr>
      <w:r w:rsidRPr="00A14BBF">
        <w:rPr>
          <w:rFonts w:cstheme="minorHAnsi"/>
          <w:b/>
          <w:bCs/>
          <w:u w:val="single"/>
        </w:rPr>
        <w:t xml:space="preserve">Aktivity jednotlivých kolektivních systémů zajišťujících zpětný odběr výrobků s ukončenou </w:t>
      </w:r>
      <w:r w:rsidRPr="00A14BBF">
        <w:rPr>
          <w:rFonts w:cstheme="minorHAnsi"/>
          <w:b/>
          <w:bCs/>
          <w:u w:val="single"/>
        </w:rPr>
        <w:t>životností</w:t>
      </w:r>
    </w:p>
    <w:p w:rsidR="00187E02" w:rsidRPr="00A14BBF" w:rsidRDefault="008C12E6" w:rsidP="00187E02">
      <w:pPr>
        <w:numPr>
          <w:ilvl w:val="0"/>
          <w:numId w:val="17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/>
          <w:bCs/>
        </w:rPr>
        <w:t>„</w:t>
      </w:r>
      <w:proofErr w:type="spellStart"/>
      <w:r w:rsidRPr="00A14BBF">
        <w:rPr>
          <w:rFonts w:cstheme="minorHAnsi"/>
          <w:b/>
          <w:bCs/>
        </w:rPr>
        <w:t>Recyklohraní</w:t>
      </w:r>
      <w:proofErr w:type="spellEnd"/>
      <w:r w:rsidRPr="00A14BBF">
        <w:rPr>
          <w:rFonts w:cstheme="minorHAnsi"/>
          <w:b/>
          <w:bCs/>
        </w:rPr>
        <w:t xml:space="preserve"> aneb Ukliďme si svět“</w:t>
      </w:r>
      <w:r w:rsidRPr="00A14BBF">
        <w:rPr>
          <w:rFonts w:cstheme="minorHAnsi"/>
          <w:bCs/>
        </w:rPr>
        <w:t xml:space="preserve"> - cílem projektu je prohloubit znalost žáků a studentů v oblasti třídění a recyklace odpadů a umožnit jim osobní zkušenost se zpětným odběrem baterií a použitých drobných elektrozařízení. Nad projektem převzal</w:t>
      </w:r>
      <w:r w:rsidRPr="00A14BBF">
        <w:rPr>
          <w:rFonts w:cstheme="minorHAnsi"/>
          <w:bCs/>
        </w:rPr>
        <w:t>o záštitu Ministerstvo školství, mládeže a tělovýchovy a je spolufinancován společnostmi, které se v ČR specializují na zpětný odběr a recyklaci (ASEKOL, a.s., ECOBAT s.r.o., ELEKTROWIN a.s.). Z výročních zpráv je zřejmé, že počet škol zapojených do projek</w:t>
      </w:r>
      <w:r w:rsidRPr="00A14BBF">
        <w:rPr>
          <w:rFonts w:cstheme="minorHAnsi"/>
          <w:bCs/>
        </w:rPr>
        <w:t>tu průběžně vzrůstá.</w:t>
      </w:r>
      <w:r w:rsidRPr="00A14BBF">
        <w:rPr>
          <w:rFonts w:cstheme="minorHAnsi"/>
          <w:b/>
          <w:bCs/>
        </w:rPr>
        <w:t xml:space="preserve"> </w:t>
      </w:r>
      <w:r w:rsidRPr="00A14BBF">
        <w:rPr>
          <w:rFonts w:cstheme="minorHAnsi"/>
          <w:bCs/>
        </w:rPr>
        <w:t xml:space="preserve">Společnost </w:t>
      </w:r>
      <w:proofErr w:type="spellStart"/>
      <w:r w:rsidRPr="00A14BBF">
        <w:rPr>
          <w:rFonts w:cstheme="minorHAnsi"/>
          <w:bCs/>
        </w:rPr>
        <w:t>Recyklohraní</w:t>
      </w:r>
      <w:proofErr w:type="spellEnd"/>
      <w:r w:rsidRPr="00A14BBF">
        <w:rPr>
          <w:rFonts w:cstheme="minorHAnsi"/>
          <w:bCs/>
        </w:rPr>
        <w:t xml:space="preserve"> také pravidelně oceňuje nejaktivnější a nejzapálenější pedagogy vyučující ekologickou výchovu v mateřských, základních a středních školách a zájmových kroužcích Certifikátem „</w:t>
      </w:r>
      <w:proofErr w:type="spellStart"/>
      <w:r w:rsidRPr="00A14BBF">
        <w:rPr>
          <w:rFonts w:cstheme="minorHAnsi"/>
          <w:bCs/>
        </w:rPr>
        <w:t>Ekoučitel</w:t>
      </w:r>
      <w:proofErr w:type="spellEnd"/>
      <w:r w:rsidRPr="00A14BBF">
        <w:rPr>
          <w:rFonts w:cstheme="minorHAnsi"/>
          <w:bCs/>
        </w:rPr>
        <w:t>“.</w:t>
      </w:r>
    </w:p>
    <w:p w:rsidR="00187E02" w:rsidRPr="00A14BBF" w:rsidRDefault="008C12E6" w:rsidP="00187E02">
      <w:pPr>
        <w:numPr>
          <w:ilvl w:val="0"/>
          <w:numId w:val="17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/>
          <w:bCs/>
        </w:rPr>
        <w:t>Projekt „EKOABECEDA</w:t>
      </w:r>
      <w:r w:rsidRPr="00A14BBF">
        <w:rPr>
          <w:rFonts w:cstheme="minorHAnsi"/>
          <w:bCs/>
        </w:rPr>
        <w:t xml:space="preserve"> – Um</w:t>
      </w:r>
      <w:r w:rsidRPr="00A14BBF">
        <w:rPr>
          <w:rFonts w:cstheme="minorHAnsi"/>
          <w:bCs/>
        </w:rPr>
        <w:t>íme</w:t>
      </w:r>
      <w:r w:rsidRPr="00A14BBF">
        <w:rPr>
          <w:rFonts w:cstheme="minorHAnsi"/>
          <w:b/>
          <w:bCs/>
        </w:rPr>
        <w:t xml:space="preserve"> žít bez odpadů?“</w:t>
      </w:r>
      <w:r w:rsidRPr="00A14BBF">
        <w:rPr>
          <w:rFonts w:cstheme="minorHAnsi"/>
          <w:bCs/>
        </w:rPr>
        <w:t xml:space="preserve">, který vznikl díky finanční podpoře SFŽP. Ukazuje, co a jak může každý z nás udělat pro to, aby odpady vůbec nevznikaly, nebo jich bylo co nejméně. Podněty a scénáře vyučovacích hodin k tématu předcházení vzniku odpadů jsou připraveny </w:t>
      </w:r>
      <w:r w:rsidRPr="00A14BBF">
        <w:rPr>
          <w:rFonts w:cstheme="minorHAnsi"/>
          <w:bCs/>
        </w:rPr>
        <w:t xml:space="preserve">pro čtyři věkové kategorie od mateřských až po střední školy. </w:t>
      </w:r>
    </w:p>
    <w:p w:rsidR="00187E02" w:rsidRPr="00A14BBF" w:rsidRDefault="008C12E6" w:rsidP="00187E02">
      <w:pPr>
        <w:numPr>
          <w:ilvl w:val="0"/>
          <w:numId w:val="17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/>
          <w:bCs/>
        </w:rPr>
        <w:t>Projekt REMOBIL</w:t>
      </w:r>
      <w:r w:rsidRPr="00A14BBF">
        <w:rPr>
          <w:rFonts w:cstheme="minorHAnsi"/>
          <w:bCs/>
        </w:rPr>
        <w:t xml:space="preserve"> neziskového spolku REMOBIL, z. s. - v rámci projektu probíhá neziskový sběr nepotřebných, použitých a většinou také nefunkčních mobilních telefonů. Hlavním cílem je zvýšit proce</w:t>
      </w:r>
      <w:r w:rsidRPr="00A14BBF">
        <w:rPr>
          <w:rFonts w:cstheme="minorHAnsi"/>
          <w:bCs/>
        </w:rPr>
        <w:t>nto zpětně odebraných mobilních telefonů k</w:t>
      </w:r>
      <w:r w:rsidR="00246632" w:rsidRPr="00A14BBF">
        <w:rPr>
          <w:rFonts w:cstheme="minorHAnsi"/>
          <w:bCs/>
        </w:rPr>
        <w:t> </w:t>
      </w:r>
      <w:r w:rsidRPr="00A14BBF">
        <w:rPr>
          <w:rFonts w:cstheme="minorHAnsi"/>
          <w:bCs/>
        </w:rPr>
        <w:t>dalšímu využití a zároveň motivovat spotřebitele je k odevzdání nepotřebného mobilu k recyklaci.</w:t>
      </w:r>
    </w:p>
    <w:p w:rsidR="00187E02" w:rsidRPr="00A14BBF" w:rsidRDefault="008C12E6" w:rsidP="00187E02">
      <w:pPr>
        <w:numPr>
          <w:ilvl w:val="0"/>
          <w:numId w:val="17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/>
          <w:bCs/>
        </w:rPr>
        <w:t>Projekt „Věnuj mobil“</w:t>
      </w:r>
      <w:r w:rsidRPr="00A14BBF">
        <w:rPr>
          <w:rFonts w:cstheme="minorHAnsi"/>
          <w:bCs/>
        </w:rPr>
        <w:t xml:space="preserve"> – Projekt kolektivního systému ASEKOL a.s. zaměřený na sběr vysloužilých mobilních telefonů. S</w:t>
      </w:r>
      <w:r w:rsidRPr="00A14BBF">
        <w:rPr>
          <w:rFonts w:cstheme="minorHAnsi"/>
          <w:bCs/>
        </w:rPr>
        <w:t xml:space="preserve">běrová kampaň Věnuj mobil pravidelně pomáhá dobročinným organizacím. Za sběr vysloužilých mobilních telefonů daruje ASEKOL </w:t>
      </w:r>
      <w:r w:rsidRPr="00A14BBF">
        <w:rPr>
          <w:rFonts w:cstheme="minorHAnsi"/>
          <w:bCs/>
        </w:rPr>
        <w:lastRenderedPageBreak/>
        <w:t>nové mobilní zařízení vybrané organizaci, a navíc se postará o správnou ekologickou likvidaci starých zařízení. V roce 2019 se zapoji</w:t>
      </w:r>
      <w:r w:rsidRPr="00A14BBF">
        <w:rPr>
          <w:rFonts w:cstheme="minorHAnsi"/>
          <w:bCs/>
        </w:rPr>
        <w:t xml:space="preserve">la např. také společnost </w:t>
      </w:r>
      <w:proofErr w:type="spellStart"/>
      <w:r w:rsidRPr="00A14BBF">
        <w:rPr>
          <w:rFonts w:cstheme="minorHAnsi"/>
          <w:bCs/>
        </w:rPr>
        <w:t>Avast</w:t>
      </w:r>
      <w:proofErr w:type="spellEnd"/>
      <w:r w:rsidRPr="00A14BBF">
        <w:rPr>
          <w:rFonts w:cstheme="minorHAnsi"/>
          <w:bCs/>
        </w:rPr>
        <w:t>, jejíž zaměstnanci během jednoho roku sesbírali 173 starých nefunkčních mobilů a odevzdali je k odborné recyklaci. Za tento počin ASEKOL věnoval dva nové přístroje, které byly předány organizaci Dejme dětem šanci.</w:t>
      </w:r>
    </w:p>
    <w:p w:rsidR="00187E02" w:rsidRPr="00A14BBF" w:rsidRDefault="008C12E6" w:rsidP="00187E02">
      <w:pPr>
        <w:numPr>
          <w:ilvl w:val="0"/>
          <w:numId w:val="17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/>
          <w:bCs/>
        </w:rPr>
        <w:t>Soutěž „AKT</w:t>
      </w:r>
      <w:r w:rsidRPr="00A14BBF">
        <w:rPr>
          <w:rFonts w:cstheme="minorHAnsi"/>
          <w:b/>
          <w:bCs/>
        </w:rPr>
        <w:t>IVNÍ OBEC“</w:t>
      </w:r>
      <w:r w:rsidRPr="00A14BBF">
        <w:rPr>
          <w:rFonts w:cstheme="minorHAnsi"/>
          <w:bCs/>
        </w:rPr>
        <w:t xml:space="preserve"> - Společnost ASEKOL, s.r.o. uspořádala v roce 2019 již třetí ročník soutěže s názvem AKTIVNÍ OBEC. Hodnoceny jsou tři soutěžní oblasti. První je výtěžnost sběru v červených kontejnerech, které slouží pro sběr drobného vysloužilého elektra, druho</w:t>
      </w:r>
      <w:r w:rsidRPr="00A14BBF">
        <w:rPr>
          <w:rFonts w:cstheme="minorHAnsi"/>
          <w:bCs/>
        </w:rPr>
        <w:t>u je propagace zpětného odběru elektrozařízení a třetí zohledňuje navýšení průměrné výtěžnosti sběru v červených kontejnerech v přepočtu na jednoho obyvatele. Ze strany obcí je o tuto soutěž dlouhodobě velký zájem, což dokazuje i fakt, že sběr vysloužilého</w:t>
      </w:r>
      <w:r w:rsidRPr="00A14BBF">
        <w:rPr>
          <w:rFonts w:cstheme="minorHAnsi"/>
          <w:bCs/>
        </w:rPr>
        <w:t xml:space="preserve"> elektra </w:t>
      </w:r>
      <w:proofErr w:type="spellStart"/>
      <w:r w:rsidR="0096646D" w:rsidRPr="00A14BBF">
        <w:rPr>
          <w:rFonts w:cstheme="minorHAnsi"/>
          <w:bCs/>
        </w:rPr>
        <w:t>Asekolu</w:t>
      </w:r>
      <w:proofErr w:type="spellEnd"/>
      <w:r w:rsidR="0096646D" w:rsidRPr="00A14BBF">
        <w:rPr>
          <w:rFonts w:cstheme="minorHAnsi"/>
          <w:bCs/>
        </w:rPr>
        <w:t xml:space="preserve"> </w:t>
      </w:r>
      <w:r w:rsidRPr="00A14BBF">
        <w:rPr>
          <w:rFonts w:cstheme="minorHAnsi"/>
          <w:bCs/>
        </w:rPr>
        <w:t>vzrostl meziročně o 13 %.</w:t>
      </w:r>
    </w:p>
    <w:p w:rsidR="00187E02" w:rsidRPr="00A14BBF" w:rsidRDefault="008C12E6" w:rsidP="00187E02">
      <w:pPr>
        <w:numPr>
          <w:ilvl w:val="0"/>
          <w:numId w:val="17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/>
          <w:bCs/>
        </w:rPr>
        <w:t>Hra „</w:t>
      </w:r>
      <w:proofErr w:type="spellStart"/>
      <w:r w:rsidRPr="00A14BBF">
        <w:rPr>
          <w:rFonts w:cstheme="minorHAnsi"/>
          <w:b/>
          <w:bCs/>
        </w:rPr>
        <w:t>Zrecykluj</w:t>
      </w:r>
      <w:proofErr w:type="spellEnd"/>
      <w:r w:rsidRPr="00A14BBF">
        <w:rPr>
          <w:rFonts w:cstheme="minorHAnsi"/>
          <w:b/>
          <w:bCs/>
        </w:rPr>
        <w:t xml:space="preserve"> to!“</w:t>
      </w:r>
      <w:r w:rsidRPr="00A14BBF">
        <w:rPr>
          <w:rFonts w:cstheme="minorHAnsi"/>
          <w:bCs/>
        </w:rPr>
        <w:t xml:space="preserve"> je zábavná mobilní hra a od roku 2020 také zábavně-vzdělávací internetové stránky pro děti a mládež </w:t>
      </w:r>
      <w:hyperlink r:id="rId60" w:tgtFrame="_blank" w:history="1">
        <w:r w:rsidRPr="00A14BBF">
          <w:rPr>
            <w:rStyle w:val="Hypertextovodkaz"/>
            <w:rFonts w:cstheme="minorHAnsi"/>
            <w:bCs/>
          </w:rPr>
          <w:t>www.zrecyklujto.cz</w:t>
        </w:r>
      </w:hyperlink>
      <w:r w:rsidRPr="00A14BBF">
        <w:rPr>
          <w:rFonts w:cstheme="minorHAnsi"/>
          <w:bCs/>
          <w:u w:val="single"/>
        </w:rPr>
        <w:t>.</w:t>
      </w:r>
      <w:r w:rsidRPr="00A14BBF">
        <w:rPr>
          <w:rFonts w:cstheme="minorHAnsi"/>
          <w:bCs/>
        </w:rPr>
        <w:t xml:space="preserve">Ve hře si je možné </w:t>
      </w:r>
      <w:r w:rsidRPr="00A14BBF">
        <w:rPr>
          <w:rFonts w:cstheme="minorHAnsi"/>
          <w:bCs/>
        </w:rPr>
        <w:t>zábavnou formou vyzkoušet sběr elektrozařízení, která najdete v běžné domácnosti. Úkolem hráče je najít a vyřešit úkoly schované v jednotlivých místnostech fiktivního domu. Pořadatelem soutěže je: EKOLAMP s.r.o.</w:t>
      </w:r>
    </w:p>
    <w:p w:rsidR="00147815" w:rsidRPr="00A14BBF" w:rsidRDefault="008C12E6" w:rsidP="0096230F">
      <w:pPr>
        <w:pStyle w:val="Odstavecseseznamem"/>
        <w:numPr>
          <w:ilvl w:val="0"/>
          <w:numId w:val="17"/>
        </w:numPr>
        <w:spacing w:after="360" w:line="276" w:lineRule="auto"/>
        <w:ind w:left="714" w:hanging="357"/>
        <w:contextualSpacing w:val="0"/>
        <w:rPr>
          <w:rFonts w:cstheme="minorHAnsi"/>
          <w:bCs/>
        </w:rPr>
      </w:pPr>
      <w:r w:rsidRPr="00A14BBF">
        <w:rPr>
          <w:rFonts w:cstheme="minorHAnsi"/>
          <w:b/>
          <w:bCs/>
        </w:rPr>
        <w:t>Mobilní aplikace „Kam s ní?“</w:t>
      </w:r>
      <w:r w:rsidRPr="00A14BBF">
        <w:rPr>
          <w:rFonts w:cstheme="minorHAnsi"/>
          <w:bCs/>
        </w:rPr>
        <w:t xml:space="preserve"> - informační a </w:t>
      </w:r>
      <w:r w:rsidRPr="00A14BBF">
        <w:rPr>
          <w:rFonts w:cstheme="minorHAnsi"/>
          <w:bCs/>
        </w:rPr>
        <w:t>vzdělávací aplikace pomáhá vyhledat místo pro odložení vysloužilého výrobku. Dále obsahuje přehledný popis jednotlivých druhů světelných zdrojů a kvíz na procvičení znalostí.</w:t>
      </w:r>
    </w:p>
    <w:p w:rsidR="00187E02" w:rsidRPr="00A14BBF" w:rsidRDefault="008C12E6" w:rsidP="00187E02">
      <w:pPr>
        <w:numPr>
          <w:ilvl w:val="0"/>
          <w:numId w:val="5"/>
        </w:numPr>
        <w:spacing w:after="120" w:line="276" w:lineRule="auto"/>
        <w:rPr>
          <w:rFonts w:cstheme="minorHAnsi"/>
          <w:b/>
          <w:bCs/>
          <w:u w:val="single"/>
        </w:rPr>
      </w:pPr>
      <w:r w:rsidRPr="00A14BBF">
        <w:rPr>
          <w:rFonts w:cstheme="minorHAnsi"/>
          <w:b/>
          <w:bCs/>
          <w:u w:val="single"/>
        </w:rPr>
        <w:t>Vybrané projekty na podporu prevence vzniku odpadů, intenzifikace sběru odpadů a </w:t>
      </w:r>
      <w:r w:rsidRPr="00A14BBF">
        <w:rPr>
          <w:rFonts w:cstheme="minorHAnsi"/>
          <w:b/>
          <w:bCs/>
          <w:u w:val="single"/>
        </w:rPr>
        <w:t>oběhového hospodářství v jednotlivých krajích ČR:</w:t>
      </w:r>
    </w:p>
    <w:p w:rsidR="00187E02" w:rsidRPr="00A14BBF" w:rsidRDefault="008C12E6" w:rsidP="00187E02">
      <w:pPr>
        <w:numPr>
          <w:ilvl w:val="0"/>
          <w:numId w:val="33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Jihomoravský kraj provozuje webové stránky </w:t>
      </w:r>
      <w:r w:rsidRPr="00A14BBF">
        <w:rPr>
          <w:rFonts w:cstheme="minorHAnsi"/>
          <w:b/>
          <w:bCs/>
        </w:rPr>
        <w:t xml:space="preserve">„Portál oběhového hospodářství Jihomoravského kraje“, </w:t>
      </w:r>
      <w:r w:rsidRPr="00A14BBF">
        <w:rPr>
          <w:rFonts w:cstheme="minorHAnsi"/>
          <w:bCs/>
        </w:rPr>
        <w:t xml:space="preserve"> </w:t>
      </w:r>
      <w:hyperlink r:id="rId61" w:history="1">
        <w:r w:rsidRPr="00A14BBF">
          <w:rPr>
            <w:rStyle w:val="Hypertextovodkaz"/>
            <w:rFonts w:cstheme="minorHAnsi"/>
            <w:bCs/>
          </w:rPr>
          <w:t>http://obhjmk.cz/</w:t>
        </w:r>
      </w:hyperlink>
      <w:r w:rsidRPr="00A14BBF">
        <w:rPr>
          <w:rFonts w:cstheme="minorHAnsi"/>
          <w:bCs/>
        </w:rPr>
        <w:t>. Portál poskytuje informace, příklady dobré praxe pro ob</w:t>
      </w:r>
      <w:r w:rsidRPr="00A14BBF">
        <w:rPr>
          <w:rFonts w:cstheme="minorHAnsi"/>
          <w:bCs/>
        </w:rPr>
        <w:t>ce a domácnosti. Ukazuje přístupy, jak dosáhnout snížení produkce odpadů a maximálního využití odpadů a jak využít potenciál Jihomoravského kraje v oběhovém hospodářství. V listopadu 2019 převzali zástupci nejlepších měst a obcí Jihomoravského kraje oceněn</w:t>
      </w:r>
      <w:r w:rsidRPr="00A14BBF">
        <w:rPr>
          <w:rFonts w:cstheme="minorHAnsi"/>
          <w:bCs/>
        </w:rPr>
        <w:t xml:space="preserve">í za třídění odpadů.  byly vyhlášeny výsledky soutěže nazvané </w:t>
      </w:r>
      <w:r w:rsidRPr="00A14BBF">
        <w:rPr>
          <w:rFonts w:cstheme="minorHAnsi"/>
          <w:b/>
          <w:bCs/>
        </w:rPr>
        <w:t>"My třídíme nejlépe",</w:t>
      </w:r>
      <w:r w:rsidRPr="00A14BBF">
        <w:rPr>
          <w:rFonts w:cstheme="minorHAnsi"/>
          <w:bCs/>
        </w:rPr>
        <w:t xml:space="preserve"> kterou každoročně vyhlašuje Autorizovaná obalová společnost EKO-KOM, a.s., pod záštitou Jihomoravského kraje. Oceněny byly též obce za třídění vysloužilých elektrozařízení.</w:t>
      </w:r>
    </w:p>
    <w:p w:rsidR="00187E02" w:rsidRPr="00A14BBF" w:rsidRDefault="008C12E6" w:rsidP="00187E02">
      <w:pPr>
        <w:numPr>
          <w:ilvl w:val="0"/>
          <w:numId w:val="33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Plzeňský kraj ve spolupráci s autorizovanou obalovou společností EKO-KOM, a.s., a Regionální rozvojovou agenturou Plzeňského kraje, organizuje každoročně soutěže obcí v třídění odpadů </w:t>
      </w:r>
      <w:r w:rsidRPr="00A14BBF">
        <w:rPr>
          <w:rFonts w:cstheme="minorHAnsi"/>
          <w:b/>
          <w:bCs/>
        </w:rPr>
        <w:t xml:space="preserve">„My už třídit umíme!“. </w:t>
      </w:r>
      <w:r w:rsidRPr="00A14BBF">
        <w:rPr>
          <w:rFonts w:cstheme="minorHAnsi"/>
          <w:bCs/>
        </w:rPr>
        <w:t>V roce 2020 se konal již 15. ročník.</w:t>
      </w:r>
    </w:p>
    <w:p w:rsidR="00187E02" w:rsidRPr="00A14BBF" w:rsidRDefault="008C12E6" w:rsidP="00187E02">
      <w:pPr>
        <w:numPr>
          <w:ilvl w:val="0"/>
          <w:numId w:val="33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lastRenderedPageBreak/>
        <w:t>V Olomoucké</w:t>
      </w:r>
      <w:r w:rsidRPr="00A14BBF">
        <w:rPr>
          <w:rFonts w:cstheme="minorHAnsi"/>
          <w:bCs/>
        </w:rPr>
        <w:t xml:space="preserve">m kraji udělují pravidelně prestižní ocenění </w:t>
      </w:r>
      <w:r w:rsidRPr="00A14BBF">
        <w:rPr>
          <w:rFonts w:cstheme="minorHAnsi"/>
          <w:b/>
          <w:bCs/>
        </w:rPr>
        <w:t>„O keramickou popelnici".</w:t>
      </w:r>
      <w:r w:rsidRPr="00A14BBF">
        <w:rPr>
          <w:rFonts w:cstheme="minorHAnsi"/>
          <w:bCs/>
        </w:rPr>
        <w:t xml:space="preserve"> Oceňovány jsou obce jejichž občané nejlépe třídí komunální odpad.  Tato soutěž je také součástí krajské informační kampaně zaměřené na podporu sběru separovaného odpadu ve městech a obc</w:t>
      </w:r>
      <w:r w:rsidRPr="00A14BBF">
        <w:rPr>
          <w:rFonts w:cstheme="minorHAnsi"/>
          <w:bCs/>
        </w:rPr>
        <w:t xml:space="preserve">ích. Dále jsou v kraji realizovány projekty výchovy a vzdělávání občanů v oblasti odpadového hospodářství jako např. kampaň </w:t>
      </w:r>
      <w:r w:rsidRPr="00A14BBF">
        <w:rPr>
          <w:rFonts w:cstheme="minorHAnsi"/>
          <w:b/>
          <w:bCs/>
        </w:rPr>
        <w:t>„Jak se točí odpady“,</w:t>
      </w:r>
      <w:r w:rsidRPr="00A14BBF">
        <w:rPr>
          <w:rFonts w:cstheme="minorHAnsi"/>
          <w:bCs/>
        </w:rPr>
        <w:t xml:space="preserve"> která</w:t>
      </w:r>
      <w:r w:rsidRPr="00A14BBF">
        <w:rPr>
          <w:rFonts w:cstheme="minorHAnsi"/>
          <w:bCs/>
          <w:i/>
        </w:rPr>
        <w:t xml:space="preserve"> má napomoci ke </w:t>
      </w:r>
      <w:r w:rsidRPr="00A14BBF">
        <w:rPr>
          <w:rFonts w:cstheme="minorHAnsi"/>
          <w:bCs/>
        </w:rPr>
        <w:t>zvýšení množství a kvality separovaného odpadu.</w:t>
      </w:r>
    </w:p>
    <w:p w:rsidR="00187E02" w:rsidRPr="00A14BBF" w:rsidRDefault="008C12E6" w:rsidP="00187E02">
      <w:pPr>
        <w:numPr>
          <w:ilvl w:val="0"/>
          <w:numId w:val="33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Kraj Vysočina provozuje webové stránky </w:t>
      </w:r>
      <w:hyperlink r:id="rId62" w:history="1">
        <w:r w:rsidRPr="00A14BBF">
          <w:rPr>
            <w:rStyle w:val="Hypertextovodkaz"/>
            <w:rFonts w:cstheme="minorHAnsi"/>
            <w:bCs/>
          </w:rPr>
          <w:t>https://vysocina.trideni.cz/</w:t>
        </w:r>
      </w:hyperlink>
      <w:r w:rsidRPr="00A14BBF">
        <w:rPr>
          <w:rFonts w:cstheme="minorHAnsi"/>
          <w:bCs/>
        </w:rPr>
        <w:t xml:space="preserve"> na nichž se zástupci obcí, školy a široká veřejnost mohou seznámit s aktuálním děním v oblasti třídění odpadů. Obce v kraji Vysočina se také pravidelně zapojují do krajem pořádané sout</w:t>
      </w:r>
      <w:r w:rsidRPr="00A14BBF">
        <w:rPr>
          <w:rFonts w:cstheme="minorHAnsi"/>
          <w:bCs/>
        </w:rPr>
        <w:t xml:space="preserve">ěže v efektivitě sběru tříděného odpadu a elektra </w:t>
      </w:r>
      <w:r w:rsidRPr="00A14BBF">
        <w:rPr>
          <w:rFonts w:cstheme="minorHAnsi"/>
          <w:b/>
          <w:bCs/>
        </w:rPr>
        <w:t>"My</w:t>
      </w:r>
      <w:r w:rsidR="008A09F2" w:rsidRPr="00A14BBF">
        <w:rPr>
          <w:rFonts w:cstheme="minorHAnsi"/>
          <w:b/>
          <w:bCs/>
        </w:rPr>
        <w:t> </w:t>
      </w:r>
      <w:r w:rsidRPr="00A14BBF">
        <w:rPr>
          <w:rFonts w:cstheme="minorHAnsi"/>
          <w:b/>
          <w:bCs/>
        </w:rPr>
        <w:t>třídíme nejlépe"</w:t>
      </w:r>
      <w:r w:rsidRPr="00A14BBF">
        <w:rPr>
          <w:rFonts w:cstheme="minorHAnsi"/>
          <w:bCs/>
        </w:rPr>
        <w:t xml:space="preserve"> a do soutěže „O křišťálovou popelnici“.</w:t>
      </w:r>
    </w:p>
    <w:p w:rsidR="00187E02" w:rsidRPr="00A14BBF" w:rsidRDefault="008C12E6" w:rsidP="00187E02">
      <w:pPr>
        <w:numPr>
          <w:ilvl w:val="0"/>
          <w:numId w:val="33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V rámci celé ČR pořádá ve spolupráci s krajskými úřady Autorizovaná obalová společnost EKO-KOM, a.s., soutěž pro obce v rámci v třídění odpadů </w:t>
      </w:r>
      <w:r w:rsidRPr="00A14BBF">
        <w:rPr>
          <w:rFonts w:cstheme="minorHAnsi"/>
          <w:b/>
          <w:bCs/>
        </w:rPr>
        <w:t>„K</w:t>
      </w:r>
      <w:r w:rsidRPr="00A14BBF">
        <w:rPr>
          <w:rFonts w:cstheme="minorHAnsi"/>
          <w:b/>
          <w:bCs/>
        </w:rPr>
        <w:t>řišťálová popelnice“</w:t>
      </w:r>
      <w:r w:rsidRPr="00A14BBF">
        <w:rPr>
          <w:rFonts w:cstheme="minorHAnsi"/>
          <w:bCs/>
        </w:rPr>
        <w:t>.</w:t>
      </w:r>
    </w:p>
    <w:p w:rsidR="00187E02" w:rsidRPr="00A14BBF" w:rsidRDefault="008C12E6" w:rsidP="00187E02">
      <w:pPr>
        <w:numPr>
          <w:ilvl w:val="0"/>
          <w:numId w:val="33"/>
        </w:numPr>
        <w:spacing w:after="120" w:line="276" w:lineRule="auto"/>
        <w:rPr>
          <w:rFonts w:cstheme="minorHAnsi"/>
          <w:bCs/>
          <w:u w:val="single"/>
        </w:rPr>
      </w:pPr>
      <w:r w:rsidRPr="00A14BBF">
        <w:rPr>
          <w:rFonts w:cstheme="minorHAnsi"/>
          <w:bCs/>
        </w:rPr>
        <w:t>Ve Středočeském kraji byly pořádány pro obce semináře začleňující i tématiku předcházení vzniku odpadů. Např. v březnu 2019</w:t>
      </w:r>
      <w:r w:rsidR="008A09F2" w:rsidRPr="00A14BBF">
        <w:rPr>
          <w:rFonts w:cstheme="minorHAnsi"/>
          <w:bCs/>
        </w:rPr>
        <w:t xml:space="preserve"> </w:t>
      </w:r>
      <w:r w:rsidRPr="00A14BBF">
        <w:rPr>
          <w:rFonts w:cstheme="minorHAnsi"/>
          <w:bCs/>
        </w:rPr>
        <w:t>se konal odborný seminář „</w:t>
      </w:r>
      <w:r w:rsidRPr="00A14BBF">
        <w:rPr>
          <w:rFonts w:cstheme="minorHAnsi"/>
          <w:b/>
          <w:bCs/>
        </w:rPr>
        <w:t>Jak dál s odpady?“</w:t>
      </w:r>
      <w:r w:rsidRPr="00A14BBF">
        <w:rPr>
          <w:rFonts w:cstheme="minorHAnsi"/>
          <w:bCs/>
        </w:rPr>
        <w:t xml:space="preserve"> o dalším vývoji regionálního systému nakládání s odpady v obcích Středočeského kraje. K problematice odpadového hospodářství Středočeského kraje jsou zřízeny internetové stránky </w:t>
      </w:r>
      <w:hyperlink r:id="rId63" w:tgtFrame="_blank" w:tooltip="Středočeské odpady (otevře se v novém okně)" w:history="1">
        <w:r w:rsidRPr="00A14BBF">
          <w:rPr>
            <w:rStyle w:val="Hypertextovodkaz"/>
            <w:rFonts w:cstheme="minorHAnsi"/>
            <w:bCs/>
          </w:rPr>
          <w:t>http://odpady.kr-stredocesky.cz</w:t>
        </w:r>
      </w:hyperlink>
    </w:p>
    <w:p w:rsidR="008664B3" w:rsidRPr="00A14BBF" w:rsidRDefault="008C12E6" w:rsidP="008664B3">
      <w:pPr>
        <w:numPr>
          <w:ilvl w:val="0"/>
          <w:numId w:val="33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 xml:space="preserve">Všechny kraje nadále spolupracují v oblasti předcházení vzniku odpadů s AOS a kolektivními systémy </w:t>
      </w:r>
      <w:proofErr w:type="spellStart"/>
      <w:r w:rsidRPr="00A14BBF">
        <w:rPr>
          <w:rFonts w:cstheme="minorHAnsi"/>
          <w:bCs/>
        </w:rPr>
        <w:t>Elektrowin</w:t>
      </w:r>
      <w:proofErr w:type="spellEnd"/>
      <w:r w:rsidRPr="00A14BBF">
        <w:rPr>
          <w:rFonts w:cstheme="minorHAnsi"/>
          <w:bCs/>
        </w:rPr>
        <w:t xml:space="preserve">, </w:t>
      </w:r>
      <w:proofErr w:type="spellStart"/>
      <w:r w:rsidRPr="00A14BBF">
        <w:rPr>
          <w:rFonts w:cstheme="minorHAnsi"/>
          <w:bCs/>
        </w:rPr>
        <w:t>Ecobat</w:t>
      </w:r>
      <w:proofErr w:type="spellEnd"/>
      <w:r w:rsidRPr="00A14BBF">
        <w:rPr>
          <w:rFonts w:cstheme="minorHAnsi"/>
          <w:bCs/>
        </w:rPr>
        <w:t xml:space="preserve"> a </w:t>
      </w:r>
      <w:proofErr w:type="spellStart"/>
      <w:r w:rsidRPr="00A14BBF">
        <w:rPr>
          <w:rFonts w:cstheme="minorHAnsi"/>
          <w:bCs/>
        </w:rPr>
        <w:t>Asekol</w:t>
      </w:r>
      <w:proofErr w:type="spellEnd"/>
      <w:r w:rsidRPr="00A14BBF">
        <w:rPr>
          <w:rFonts w:cstheme="minorHAnsi"/>
          <w:bCs/>
        </w:rPr>
        <w:t xml:space="preserve">. </w:t>
      </w:r>
    </w:p>
    <w:p w:rsidR="00187E02" w:rsidRDefault="008C12E6" w:rsidP="00187E02">
      <w:pPr>
        <w:numPr>
          <w:ilvl w:val="0"/>
          <w:numId w:val="33"/>
        </w:numPr>
        <w:spacing w:after="120" w:line="276" w:lineRule="auto"/>
        <w:rPr>
          <w:rFonts w:cstheme="minorHAnsi"/>
          <w:bCs/>
        </w:rPr>
      </w:pPr>
      <w:r w:rsidRPr="00A14BBF">
        <w:rPr>
          <w:rFonts w:cstheme="minorHAnsi"/>
          <w:bCs/>
        </w:rPr>
        <w:t>Ve všech krajích je soustavně podporována efektivní environmentální výchova, vzdělávání a osvěta občanů prostřednictvím vyhlašování grantových programů.</w:t>
      </w:r>
    </w:p>
    <w:p w:rsidR="00D770E4" w:rsidRDefault="00D770E4" w:rsidP="00D770E4">
      <w:pPr>
        <w:spacing w:after="120" w:line="276" w:lineRule="auto"/>
        <w:rPr>
          <w:rFonts w:cstheme="minorHAnsi"/>
          <w:bCs/>
        </w:rPr>
      </w:pPr>
    </w:p>
    <w:p w:rsidR="00D770E4" w:rsidRPr="00A14BBF" w:rsidRDefault="00D770E4" w:rsidP="00D770E4">
      <w:pPr>
        <w:spacing w:after="120" w:line="276" w:lineRule="auto"/>
        <w:rPr>
          <w:rFonts w:cstheme="minorHAnsi"/>
          <w:bCs/>
        </w:rPr>
      </w:pPr>
    </w:p>
    <w:p w:rsidR="00187E02" w:rsidRPr="00A14BBF" w:rsidRDefault="00187E02" w:rsidP="00187E02">
      <w:pPr>
        <w:spacing w:after="120" w:line="276" w:lineRule="auto"/>
        <w:ind w:left="709"/>
        <w:rPr>
          <w:rFonts w:cstheme="minorHAnsi"/>
          <w:bCs/>
        </w:rPr>
      </w:pPr>
    </w:p>
    <w:p w:rsidR="00506B64" w:rsidRDefault="008C12E6">
      <w:pPr>
        <w:spacing w:after="200" w:line="276" w:lineRule="auto"/>
        <w:jc w:val="left"/>
        <w:rPr>
          <w:rFonts w:cstheme="minorHAnsi"/>
          <w:bCs/>
          <w:highlight w:val="cyan"/>
        </w:rPr>
      </w:pPr>
      <w:r>
        <w:rPr>
          <w:rFonts w:cstheme="minorHAnsi"/>
          <w:bCs/>
          <w:highlight w:val="cyan"/>
        </w:rPr>
        <w:br w:type="page"/>
      </w:r>
    </w:p>
    <w:p w:rsidR="00D429CC" w:rsidRPr="00A14BBF" w:rsidRDefault="008C12E6" w:rsidP="000D22FD">
      <w:pPr>
        <w:pStyle w:val="Nadpis20"/>
        <w:ind w:left="567"/>
      </w:pPr>
      <w:bookmarkStart w:id="32" w:name="_Toc256000007"/>
      <w:r w:rsidRPr="00A14BBF">
        <w:lastRenderedPageBreak/>
        <w:t>Shrnutí</w:t>
      </w:r>
      <w:r w:rsidR="00494572" w:rsidRPr="00A14BBF">
        <w:t xml:space="preserve"> vývoje odpadového hospodářství </w:t>
      </w:r>
      <w:r w:rsidR="00A063C0" w:rsidRPr="00A14BBF">
        <w:t xml:space="preserve">ČR </w:t>
      </w:r>
      <w:r w:rsidR="00494572" w:rsidRPr="00A14BBF">
        <w:t xml:space="preserve">v letech </w:t>
      </w:r>
      <w:r w:rsidR="00E62800" w:rsidRPr="00A14BBF">
        <w:t>2019–2020</w:t>
      </w:r>
      <w:bookmarkEnd w:id="32"/>
    </w:p>
    <w:p w:rsidR="00D9035E" w:rsidRPr="00A14BBF" w:rsidRDefault="00D9035E" w:rsidP="00D9035E">
      <w:pPr>
        <w:pStyle w:val="Odrka"/>
        <w:spacing w:line="276" w:lineRule="auto"/>
        <w:ind w:left="360" w:firstLine="0"/>
        <w:rPr>
          <w:sz w:val="24"/>
          <w:szCs w:val="24"/>
        </w:rPr>
      </w:pPr>
    </w:p>
    <w:p w:rsidR="00506B64" w:rsidRPr="00A14BBF" w:rsidRDefault="008C12E6" w:rsidP="00506B64">
      <w:pPr>
        <w:pStyle w:val="Odrka"/>
        <w:numPr>
          <w:ilvl w:val="0"/>
          <w:numId w:val="4"/>
        </w:numPr>
        <w:spacing w:line="276" w:lineRule="auto"/>
        <w:ind w:left="714" w:hanging="357"/>
        <w:rPr>
          <w:rFonts w:eastAsiaTheme="minorHAnsi" w:cstheme="minorBidi"/>
          <w:b/>
          <w:color w:val="000000" w:themeColor="text1"/>
          <w:sz w:val="24"/>
        </w:rPr>
      </w:pPr>
      <w:r w:rsidRPr="00A14BBF">
        <w:rPr>
          <w:color w:val="000000" w:themeColor="text1"/>
          <w:sz w:val="24"/>
          <w:szCs w:val="24"/>
        </w:rPr>
        <w:t>K vyhodnocení odpadového</w:t>
      </w:r>
      <w:r w:rsidRPr="00A14BBF">
        <w:rPr>
          <w:color w:val="000000" w:themeColor="text1"/>
          <w:sz w:val="24"/>
          <w:szCs w:val="24"/>
        </w:rPr>
        <w:t xml:space="preserve"> hospodářství v letech </w:t>
      </w:r>
      <w:r w:rsidR="00E62800" w:rsidRPr="00A14BBF">
        <w:rPr>
          <w:color w:val="000000" w:themeColor="text1"/>
          <w:sz w:val="24"/>
          <w:szCs w:val="24"/>
        </w:rPr>
        <w:t>2019–2020</w:t>
      </w:r>
      <w:r w:rsidRPr="00A14BBF">
        <w:rPr>
          <w:color w:val="000000" w:themeColor="text1"/>
          <w:sz w:val="24"/>
          <w:szCs w:val="24"/>
        </w:rPr>
        <w:t xml:space="preserve"> je třeba říci, že zejména rok 2020 ve svých ukazatelích může být ovlivněn pandemickou situací nemoci COVID-19, odlišným chováním občanů, dopadem do průmyslové výroby a ekonomiky ČR.  </w:t>
      </w:r>
    </w:p>
    <w:p w:rsidR="00506B64" w:rsidRPr="00A14BBF" w:rsidRDefault="008C12E6" w:rsidP="00506B64">
      <w:pPr>
        <w:pStyle w:val="Odrka"/>
        <w:numPr>
          <w:ilvl w:val="0"/>
          <w:numId w:val="4"/>
        </w:numPr>
        <w:spacing w:line="276" w:lineRule="auto"/>
        <w:ind w:left="714" w:hanging="357"/>
        <w:rPr>
          <w:rFonts w:eastAsiaTheme="minorHAnsi" w:cstheme="minorBidi"/>
          <w:b/>
          <w:color w:val="000000" w:themeColor="text1"/>
          <w:sz w:val="24"/>
        </w:rPr>
      </w:pPr>
      <w:r w:rsidRPr="00A14BBF">
        <w:rPr>
          <w:color w:val="000000" w:themeColor="text1"/>
          <w:sz w:val="24"/>
          <w:szCs w:val="24"/>
        </w:rPr>
        <w:t xml:space="preserve">V letech </w:t>
      </w:r>
      <w:r w:rsidR="00E62800" w:rsidRPr="00A14BBF">
        <w:rPr>
          <w:color w:val="000000" w:themeColor="text1"/>
          <w:sz w:val="24"/>
          <w:szCs w:val="24"/>
        </w:rPr>
        <w:t>2019</w:t>
      </w:r>
      <w:r w:rsidR="00E62800">
        <w:rPr>
          <w:color w:val="000000" w:themeColor="text1"/>
          <w:sz w:val="24"/>
          <w:szCs w:val="24"/>
        </w:rPr>
        <w:t>–2020</w:t>
      </w:r>
      <w:r w:rsidRPr="00A14BBF">
        <w:rPr>
          <w:color w:val="000000" w:themeColor="text1"/>
          <w:sz w:val="24"/>
          <w:szCs w:val="24"/>
        </w:rPr>
        <w:t xml:space="preserve"> se úspěšně rozvíjí oblast </w:t>
      </w:r>
      <w:r w:rsidRPr="00A14BBF">
        <w:rPr>
          <w:b/>
          <w:color w:val="000000" w:themeColor="text1"/>
          <w:sz w:val="24"/>
          <w:szCs w:val="24"/>
        </w:rPr>
        <w:t xml:space="preserve">předcházení vzniku odpadů </w:t>
      </w:r>
      <w:r w:rsidRPr="00A14BBF">
        <w:rPr>
          <w:color w:val="000000" w:themeColor="text1"/>
          <w:sz w:val="24"/>
          <w:szCs w:val="24"/>
        </w:rPr>
        <w:t>o čemž svědčí velké množství realizovaných aktivit.</w:t>
      </w:r>
      <w:r w:rsidRPr="00A14BBF">
        <w:rPr>
          <w:rFonts w:eastAsiaTheme="minorHAnsi" w:cstheme="minorBidi"/>
          <w:b/>
          <w:color w:val="000000" w:themeColor="text1"/>
          <w:sz w:val="24"/>
        </w:rPr>
        <w:t xml:space="preserve">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b/>
          <w:color w:val="000000" w:themeColor="text1"/>
        </w:rPr>
        <w:t xml:space="preserve">Produkce odpadů roste. </w:t>
      </w:r>
      <w:r w:rsidRPr="00A14BBF">
        <w:rPr>
          <w:color w:val="000000" w:themeColor="text1"/>
        </w:rPr>
        <w:t>Celková produkce odpadů meziročně vzrostla o 3,15 % na </w:t>
      </w:r>
      <w:r w:rsidRPr="00A14BBF">
        <w:t xml:space="preserve">hodnotu 38 503,7 tis. t v roce 2020. Meziročně vzrostla o 1 141, 4 tis. </w:t>
      </w:r>
      <w:r w:rsidRPr="00A14BBF">
        <w:t>t.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color w:val="000000" w:themeColor="text1"/>
        </w:rPr>
        <w:t xml:space="preserve">Produkce ostatních odpadů meziročně vzrostla o 3,1 % na </w:t>
      </w:r>
      <w:r w:rsidRPr="00A14BBF">
        <w:t>36 721,8 tis. t v roce 2020, meziročně došlo ke zvýšení o 1 118 tis. t.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color w:val="000000" w:themeColor="text1"/>
        </w:rPr>
        <w:t xml:space="preserve">Produkce nebezpečných odpadů meziročně nepatrně vzrostla o 1,3 % na </w:t>
      </w:r>
      <w:r w:rsidRPr="00A14BBF">
        <w:t xml:space="preserve">1 781,8 tis. t v roce 2020, meziročně došlo ke zvýšení o </w:t>
      </w:r>
      <w:r w:rsidRPr="00A14BBF">
        <w:t>23,3 tis. t.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b/>
          <w:color w:val="000000" w:themeColor="text1"/>
        </w:rPr>
        <w:t>Odpady jsou převážně využívány.</w:t>
      </w:r>
      <w:r w:rsidRPr="00A14BBF">
        <w:rPr>
          <w:color w:val="000000" w:themeColor="text1"/>
        </w:rPr>
        <w:t xml:space="preserve"> </w:t>
      </w:r>
      <w:r w:rsidRPr="00A14BBF">
        <w:rPr>
          <w:b/>
          <w:color w:val="000000" w:themeColor="text1"/>
        </w:rPr>
        <w:t>Podíl využití odpadů</w:t>
      </w:r>
      <w:r w:rsidRPr="00A14BBF">
        <w:rPr>
          <w:color w:val="000000" w:themeColor="text1"/>
        </w:rPr>
        <w:t xml:space="preserve"> na celkové produkci odpadů mírně </w:t>
      </w:r>
      <w:r w:rsidRPr="00A14BBF">
        <w:rPr>
          <w:b/>
          <w:color w:val="000000" w:themeColor="text1"/>
        </w:rPr>
        <w:t>v</w:t>
      </w:r>
      <w:r w:rsidR="00E63784">
        <w:rPr>
          <w:b/>
          <w:color w:val="000000" w:themeColor="text1"/>
        </w:rPr>
        <w:t>z</w:t>
      </w:r>
      <w:r w:rsidRPr="00A14BBF">
        <w:rPr>
          <w:b/>
          <w:color w:val="000000" w:themeColor="text1"/>
        </w:rPr>
        <w:t>rostl</w:t>
      </w:r>
      <w:r w:rsidRPr="00A14BBF">
        <w:rPr>
          <w:color w:val="000000" w:themeColor="text1"/>
        </w:rPr>
        <w:t xml:space="preserve"> meziročně o 1,6 % na 89,8 % v roce 2020. Pokračuje pozitivní trend postupného zvyšování podílu využitých odpadů. </w:t>
      </w:r>
      <w:r w:rsidRPr="00A14BBF">
        <w:t>Množství využitých odpadů dosáhlo 34</w:t>
      </w:r>
      <w:r w:rsidRPr="00A14BBF">
        <w:t xml:space="preserve"> 556,7 tis. t v roce 2020.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b/>
          <w:color w:val="000000" w:themeColor="text1"/>
        </w:rPr>
        <w:t>V nakládání s odpady převažuje materiálové využití odpadů. Podíl materiálového využití odpadů</w:t>
      </w:r>
      <w:r w:rsidRPr="00A14BBF">
        <w:rPr>
          <w:color w:val="000000" w:themeColor="text1"/>
        </w:rPr>
        <w:t xml:space="preserve"> na celkové produkci meziročně opět </w:t>
      </w:r>
      <w:r w:rsidRPr="00A14BBF">
        <w:rPr>
          <w:b/>
          <w:color w:val="000000" w:themeColor="text1"/>
        </w:rPr>
        <w:t>vzrostl</w:t>
      </w:r>
      <w:r w:rsidRPr="00A14BBF">
        <w:rPr>
          <w:color w:val="000000" w:themeColor="text1"/>
        </w:rPr>
        <w:t xml:space="preserve"> o 1,4 % na 86,2 % v roce 2020.  </w:t>
      </w:r>
      <w:r w:rsidRPr="00A14BBF">
        <w:t xml:space="preserve">Množství materiálově využitých odpadů dosáhlo 33 174 tis. t </w:t>
      </w:r>
      <w:r w:rsidRPr="00A14BBF">
        <w:t>v roce 2020.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b/>
          <w:color w:val="000000" w:themeColor="text1"/>
        </w:rPr>
        <w:t>Podíl energetického využití odpadů</w:t>
      </w:r>
      <w:r w:rsidRPr="00A14BBF">
        <w:rPr>
          <w:color w:val="000000" w:themeColor="text1"/>
        </w:rPr>
        <w:t xml:space="preserve"> na celkové produkci odpadů </w:t>
      </w:r>
      <w:r w:rsidRPr="00A14BBF">
        <w:rPr>
          <w:b/>
          <w:color w:val="000000" w:themeColor="text1"/>
        </w:rPr>
        <w:t>zůstává téměř stejný</w:t>
      </w:r>
      <w:r w:rsidRPr="00A14BBF">
        <w:rPr>
          <w:color w:val="000000" w:themeColor="text1"/>
        </w:rPr>
        <w:t xml:space="preserve"> 3,6 % v roce 2020. </w:t>
      </w:r>
      <w:r w:rsidRPr="00A14BBF">
        <w:t>Energeticky využívána je jen malá část z celkové produkce odpadů, meziročně došlo k mírnému nárůstu množství energeticky využitých odpadů na </w:t>
      </w:r>
      <w:r w:rsidRPr="00A14BBF">
        <w:t>1 382,8 tis. t v roce 2020.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b/>
          <w:color w:val="000000" w:themeColor="text1"/>
        </w:rPr>
        <w:t>Podíl skládkování odpadů</w:t>
      </w:r>
      <w:r w:rsidRPr="00A14BBF">
        <w:rPr>
          <w:color w:val="000000" w:themeColor="text1"/>
        </w:rPr>
        <w:t xml:space="preserve"> na celkové produkci odpadů </w:t>
      </w:r>
      <w:r w:rsidRPr="00A14BBF">
        <w:rPr>
          <w:b/>
          <w:color w:val="000000" w:themeColor="text1"/>
        </w:rPr>
        <w:t>stagnuje</w:t>
      </w:r>
      <w:r w:rsidRPr="00A14BBF">
        <w:rPr>
          <w:color w:val="000000" w:themeColor="text1"/>
        </w:rPr>
        <w:t xml:space="preserve">, v roce 2020 dosáhl 9,8 %.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color w:val="000000" w:themeColor="text1"/>
        </w:rPr>
        <w:t xml:space="preserve">Podíl spalování odpadů na celkové produkci odpadů je zanedbatelný 0,23 % v roce 2020.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t xml:space="preserve">Podíl </w:t>
      </w:r>
      <w:r w:rsidRPr="00A14BBF">
        <w:rPr>
          <w:b/>
        </w:rPr>
        <w:t>využití nebezpečných odpadů</w:t>
      </w:r>
      <w:r w:rsidRPr="00A14BBF">
        <w:t xml:space="preserve"> meziročně </w:t>
      </w:r>
      <w:r w:rsidRPr="00A14BBF">
        <w:rPr>
          <w:b/>
        </w:rPr>
        <w:t>poklesl</w:t>
      </w:r>
      <w:r w:rsidRPr="00A14BBF">
        <w:t xml:space="preserve"> </w:t>
      </w:r>
      <w:r w:rsidRPr="00A14BBF">
        <w:t>na 33,8 % v roce 2020.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color w:val="000000" w:themeColor="text1"/>
        </w:rPr>
        <w:t xml:space="preserve">Podíl </w:t>
      </w:r>
      <w:r w:rsidRPr="00A14BBF">
        <w:rPr>
          <w:b/>
          <w:color w:val="000000" w:themeColor="text1"/>
        </w:rPr>
        <w:t>materiálově využitých nebezpečných odpadů</w:t>
      </w:r>
      <w:r w:rsidRPr="00A14BBF">
        <w:rPr>
          <w:color w:val="000000" w:themeColor="text1"/>
        </w:rPr>
        <w:t xml:space="preserve"> meziročně </w:t>
      </w:r>
      <w:r w:rsidRPr="00A14BBF">
        <w:rPr>
          <w:b/>
          <w:color w:val="000000" w:themeColor="text1"/>
        </w:rPr>
        <w:t>mírně poklesl</w:t>
      </w:r>
      <w:r w:rsidRPr="00A14BBF">
        <w:rPr>
          <w:color w:val="000000" w:themeColor="text1"/>
        </w:rPr>
        <w:t xml:space="preserve"> o 4 % na 30,4 % v roce 2020. </w:t>
      </w:r>
      <w:bookmarkStart w:id="33" w:name="_Hlk100907538"/>
      <w:r w:rsidRPr="00A14BBF">
        <w:t xml:space="preserve">Přes tento meziroční pokles v posledních pěti letech množství materiálově využitých nebezpečných odpadů rostlo. Je třeba sledovat a </w:t>
      </w:r>
      <w:r w:rsidRPr="00A14BBF">
        <w:t>vyhodnotit situaci v dalších letech.</w:t>
      </w:r>
    </w:p>
    <w:bookmarkEnd w:id="33"/>
    <w:p w:rsidR="00506B64" w:rsidRPr="008A0880" w:rsidRDefault="008C12E6" w:rsidP="00CD2F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714" w:hanging="357"/>
        <w:rPr>
          <w:color w:val="000000" w:themeColor="text1"/>
        </w:rPr>
      </w:pPr>
      <w:r w:rsidRPr="008A0880">
        <w:rPr>
          <w:b/>
          <w:color w:val="000000" w:themeColor="text1"/>
        </w:rPr>
        <w:t xml:space="preserve">Produkce komunálních odpadů meziročně </w:t>
      </w:r>
      <w:r w:rsidRPr="008A0880">
        <w:rPr>
          <w:b/>
        </w:rPr>
        <w:t>mírně klesla</w:t>
      </w:r>
      <w:r w:rsidRPr="00A14BBF">
        <w:t xml:space="preserve"> o 2,5 % na hodnotu 5 729,9 tis. t, 535,5 kg.obyv.</w:t>
      </w:r>
      <w:r w:rsidRPr="008A0880">
        <w:rPr>
          <w:vertAlign w:val="superscript"/>
        </w:rPr>
        <w:t xml:space="preserve">-1 </w:t>
      </w:r>
      <w:r w:rsidRPr="008A0880">
        <w:rPr>
          <w:color w:val="000000" w:themeColor="text1"/>
        </w:rPr>
        <w:t xml:space="preserve">v roce 2020. </w:t>
      </w:r>
      <w:r w:rsidRPr="008A0880">
        <w:rPr>
          <w:b/>
        </w:rPr>
        <w:t>Střednědobě se ovšem produkce komunálních odpadů zvyšuje.</w:t>
      </w:r>
      <w:r w:rsidRPr="00A14BBF">
        <w:t xml:space="preserve"> Tento pokles může indikovat otočení dosavadního trendu nárůstu měrné produkce komunálních odpadů. </w:t>
      </w:r>
      <w:r w:rsidR="008A0880">
        <w:t>Navíc rok 2020 byl již ovlivněn pandemií nemoci Covid-19</w:t>
      </w:r>
      <w:r w:rsidR="008A0880" w:rsidRPr="00A14BBF">
        <w:t>.</w:t>
      </w:r>
      <w:r w:rsidR="008A0880">
        <w:t xml:space="preserve"> </w:t>
      </w:r>
      <w:r w:rsidRPr="00A14BBF">
        <w:t xml:space="preserve">Situaci je třeba dále sledovat. </w:t>
      </w:r>
      <w:r w:rsidRPr="008A0880">
        <w:rPr>
          <w:color w:val="000000" w:themeColor="text1"/>
        </w:rPr>
        <w:t xml:space="preserve">Pozitivní je opětovné </w:t>
      </w:r>
      <w:r w:rsidRPr="008A0880">
        <w:rPr>
          <w:color w:val="000000" w:themeColor="text1"/>
        </w:rPr>
        <w:lastRenderedPageBreak/>
        <w:t>meziroční snížení podílu produkce komunálních</w:t>
      </w:r>
      <w:r w:rsidRPr="008A0880">
        <w:rPr>
          <w:color w:val="000000" w:themeColor="text1"/>
        </w:rPr>
        <w:t xml:space="preserve"> odpadů na celkovém množství vyprodukovaných odpadů o 0,8 % na 14,9 % v roce 2020.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rPr>
          <w:rFonts w:ascii="Calibri" w:eastAsia="Graphik LG Regular" w:hAnsi="Calibri" w:cs="Graphik LG Regular"/>
          <w:color w:val="000000" w:themeColor="text1"/>
        </w:rPr>
      </w:pPr>
      <w:r w:rsidRPr="00A14BBF">
        <w:rPr>
          <w:rFonts w:ascii="Calibri" w:eastAsia="Graphik LG Regular" w:hAnsi="Calibri" w:cs="Graphik LG Regular"/>
          <w:color w:val="000000" w:themeColor="text1"/>
        </w:rPr>
        <w:t xml:space="preserve">Produkce </w:t>
      </w:r>
      <w:r w:rsidRPr="00A14BBF">
        <w:rPr>
          <w:rFonts w:ascii="Calibri" w:eastAsia="Graphik LG Regular" w:hAnsi="Calibri" w:cs="Graphik LG Regular"/>
          <w:b/>
          <w:color w:val="000000" w:themeColor="text1"/>
        </w:rPr>
        <w:t>směsného komunálního odpadu</w:t>
      </w:r>
      <w:r w:rsidRPr="00A14BBF">
        <w:rPr>
          <w:rFonts w:ascii="Calibri" w:eastAsia="Graphik LG Regular" w:hAnsi="Calibri" w:cs="Graphik LG Regular"/>
          <w:color w:val="000000" w:themeColor="text1"/>
        </w:rPr>
        <w:t xml:space="preserve"> v roce 2020 spíše stagnovala, meziročně jen mírně poklesla o 0,3 % tj. o 7 tis. t na celkových 2 780,3 tis. t. Mírný pokles produkce je </w:t>
      </w:r>
      <w:r w:rsidRPr="00A14BBF">
        <w:rPr>
          <w:rFonts w:ascii="Calibri" w:eastAsia="Graphik LG Regular" w:hAnsi="Calibri" w:cs="Graphik LG Regular"/>
          <w:color w:val="000000" w:themeColor="text1"/>
        </w:rPr>
        <w:t xml:space="preserve">možno vyhodnotit jako pozitivní skutečnost, že </w:t>
      </w:r>
      <w:r w:rsidRPr="00A14BBF">
        <w:rPr>
          <w:rFonts w:ascii="Calibri" w:eastAsia="Graphik LG Regular" w:hAnsi="Calibri" w:cs="Graphik LG Regular"/>
          <w:b/>
          <w:color w:val="000000" w:themeColor="text1"/>
        </w:rPr>
        <w:t xml:space="preserve">střednědobě dochází k mírnému snižování </w:t>
      </w:r>
      <w:r w:rsidRPr="00A14BBF">
        <w:rPr>
          <w:rFonts w:ascii="Calibri" w:eastAsia="Graphik LG Regular" w:hAnsi="Calibri" w:cs="Graphik LG Regular"/>
          <w:b/>
          <w:bCs/>
          <w:color w:val="000000" w:themeColor="text1"/>
        </w:rPr>
        <w:t xml:space="preserve">produkce </w:t>
      </w:r>
      <w:r w:rsidRPr="00A14BBF">
        <w:rPr>
          <w:rFonts w:ascii="Calibri" w:eastAsia="Graphik LG Regular" w:hAnsi="Calibri" w:cs="Graphik LG Regular"/>
          <w:bCs/>
          <w:color w:val="000000" w:themeColor="text1"/>
        </w:rPr>
        <w:t>směsného komunálního odpadu</w:t>
      </w:r>
      <w:r w:rsidRPr="00A14BBF">
        <w:rPr>
          <w:rFonts w:ascii="Calibri" w:eastAsia="Graphik LG Regular" w:hAnsi="Calibri" w:cs="Graphik LG Regular"/>
          <w:color w:val="000000" w:themeColor="text1"/>
        </w:rPr>
        <w:t>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t xml:space="preserve">Podíl </w:t>
      </w:r>
      <w:r w:rsidRPr="00A14BBF">
        <w:rPr>
          <w:b/>
        </w:rPr>
        <w:t>směsného komunálního odpadu</w:t>
      </w:r>
      <w:r w:rsidRPr="00A14BBF">
        <w:t xml:space="preserve"> na celkové produkci komunálních odpadů se meziročně držel na téměř stejné hodnotě, v roce 2020 to</w:t>
      </w:r>
      <w:r w:rsidRPr="00A14BBF">
        <w:t xml:space="preserve"> bylo 47,8 %. Nepotvrdil se trend stálého poklesu tohoto ukazatele v posledních letech.  Meziročně se produkce směsného komunálního odpadu v přepočtu na obyvatele mírně snížila o 1,5 kg.obyv.</w:t>
      </w:r>
      <w:r w:rsidRPr="00A14BBF">
        <w:rPr>
          <w:vertAlign w:val="superscript"/>
        </w:rPr>
        <w:t>-1</w:t>
      </w:r>
      <w:r w:rsidRPr="00A14BBF">
        <w:t xml:space="preserve"> na hodnotu 259,8 kg.obyv.</w:t>
      </w:r>
      <w:r w:rsidRPr="00A14BBF">
        <w:rPr>
          <w:vertAlign w:val="superscript"/>
        </w:rPr>
        <w:t>-1</w:t>
      </w:r>
      <w:r w:rsidRPr="00A14BBF">
        <w:t xml:space="preserve"> v roce 2020.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color w:val="000000" w:themeColor="text1"/>
        </w:rPr>
      </w:pPr>
      <w:r w:rsidRPr="00A14BBF">
        <w:rPr>
          <w:color w:val="000000" w:themeColor="text1"/>
        </w:rPr>
        <w:t>Podle dosavadní meto</w:t>
      </w:r>
      <w:r w:rsidRPr="00A14BBF">
        <w:rPr>
          <w:color w:val="000000" w:themeColor="text1"/>
        </w:rPr>
        <w:t xml:space="preserve">diky je většina komunálních odpadů je </w:t>
      </w:r>
      <w:r w:rsidRPr="00A14BBF">
        <w:rPr>
          <w:b/>
          <w:color w:val="000000" w:themeColor="text1"/>
        </w:rPr>
        <w:t>využita</w:t>
      </w:r>
      <w:r w:rsidRPr="00A14BBF">
        <w:rPr>
          <w:color w:val="000000" w:themeColor="text1"/>
        </w:rPr>
        <w:t>.</w:t>
      </w:r>
      <w:r w:rsidRPr="00A14BBF">
        <w:rPr>
          <w:b/>
          <w:color w:val="000000" w:themeColor="text1"/>
        </w:rPr>
        <w:t xml:space="preserve"> Podíl využití komunálních odpadů</w:t>
      </w:r>
      <w:r w:rsidRPr="00A14BBF">
        <w:rPr>
          <w:color w:val="000000" w:themeColor="text1"/>
        </w:rPr>
        <w:t xml:space="preserve"> na celkové produkci komunálních odpadů </w:t>
      </w:r>
      <w:r w:rsidRPr="00A14BBF">
        <w:rPr>
          <w:b/>
          <w:color w:val="000000" w:themeColor="text1"/>
        </w:rPr>
        <w:t>poklesl</w:t>
      </w:r>
      <w:r w:rsidRPr="00A14BBF">
        <w:rPr>
          <w:color w:val="000000" w:themeColor="text1"/>
        </w:rPr>
        <w:t xml:space="preserve"> o 1,5 % na 51,2 % v roce 2020. 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after="120" w:line="276" w:lineRule="auto"/>
      </w:pPr>
      <w:r w:rsidRPr="00A14BBF">
        <w:rPr>
          <w:b/>
          <w:color w:val="000000" w:themeColor="text1"/>
        </w:rPr>
        <w:t>Podíl materiálového využití komunálních odpadů</w:t>
      </w:r>
      <w:r w:rsidRPr="00A14BBF">
        <w:rPr>
          <w:color w:val="000000" w:themeColor="text1"/>
        </w:rPr>
        <w:t xml:space="preserve"> na celkové produkci komunálních odpadů meziročně </w:t>
      </w:r>
      <w:r w:rsidRPr="00A14BBF">
        <w:rPr>
          <w:b/>
          <w:color w:val="000000" w:themeColor="text1"/>
        </w:rPr>
        <w:t>poklesl</w:t>
      </w:r>
      <w:r w:rsidRPr="00A14BBF">
        <w:rPr>
          <w:color w:val="000000" w:themeColor="text1"/>
        </w:rPr>
        <w:t xml:space="preserve"> o 2,3 % na 38,6 % v roce 2020.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  <w:szCs w:val="24"/>
        </w:rPr>
      </w:pPr>
      <w:r w:rsidRPr="00A14BBF">
        <w:rPr>
          <w:rFonts w:ascii="Calibri" w:hAnsi="Calibri" w:cs="Calibri"/>
          <w:color w:val="000000" w:themeColor="text1"/>
          <w:szCs w:val="24"/>
        </w:rPr>
        <w:t>Cíl v oblasti komunálních odpadů na zvýšení celkové úrovně přípravy k opětovnému použití a recyklaci u odpadů z materiálů jako je papír, plast, kov, sklo byl dle dosavadního způsobu výpočtu plněn.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</w:pPr>
      <w:r w:rsidRPr="00A14BBF">
        <w:t xml:space="preserve">Povinný sběr odpadů </w:t>
      </w:r>
      <w:r w:rsidRPr="00A14BBF">
        <w:t xml:space="preserve">papíru, plastů, skla, kovů a biologicky rozložitelných komunálních odpadů je zaveden. 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after="120" w:line="276" w:lineRule="auto"/>
      </w:pPr>
      <w:r w:rsidRPr="00A14BBF">
        <w:rPr>
          <w:b/>
        </w:rPr>
        <w:t>U odstraňování komunálních odpadů dominuje</w:t>
      </w:r>
      <w:r w:rsidRPr="00A14BBF">
        <w:t xml:space="preserve"> </w:t>
      </w:r>
      <w:r w:rsidRPr="00A14BBF">
        <w:rPr>
          <w:b/>
        </w:rPr>
        <w:t xml:space="preserve">skládkování. </w:t>
      </w:r>
      <w:r w:rsidRPr="00A14BBF">
        <w:t xml:space="preserve">Meziročně se mírně </w:t>
      </w:r>
      <w:r w:rsidRPr="00A14BBF">
        <w:rPr>
          <w:b/>
        </w:rPr>
        <w:t>zvýšil</w:t>
      </w:r>
      <w:r w:rsidRPr="00A14BBF">
        <w:t xml:space="preserve"> </w:t>
      </w:r>
      <w:r w:rsidRPr="00A14BBF">
        <w:rPr>
          <w:b/>
        </w:rPr>
        <w:t>podíl komunálních odpadů odstraněných skládkováním</w:t>
      </w:r>
      <w:r w:rsidRPr="00A14BBF">
        <w:t xml:space="preserve"> na celkové produkci komunálních odp</w:t>
      </w:r>
      <w:r w:rsidRPr="00A14BBF">
        <w:t xml:space="preserve">adů o 1,9 % na 47,8 %. </w:t>
      </w:r>
      <w:r w:rsidRPr="00A14BBF">
        <w:rPr>
          <w:b/>
        </w:rPr>
        <w:t>Meziročně opět vzrostlo skládkování komunálních odpadů</w:t>
      </w:r>
      <w:r w:rsidRPr="00A14BBF">
        <w:t xml:space="preserve"> o 41 tis. t na </w:t>
      </w:r>
      <w:r w:rsidRPr="00A14BBF">
        <w:rPr>
          <w:b/>
        </w:rPr>
        <w:t>2 737,3 tis. t</w:t>
      </w:r>
      <w:r w:rsidRPr="00A14BBF">
        <w:t xml:space="preserve"> v roce 2020. </w:t>
      </w:r>
      <w:r w:rsidRPr="00A14BBF">
        <w:rPr>
          <w:b/>
        </w:rPr>
        <w:t>Aktuální situace v oblasti skládkování komunálních odpadů v ČR je nevyhovující. Skládkování komunálních odpadů v ČR představuje posledn</w:t>
      </w:r>
      <w:r w:rsidRPr="00A14BBF">
        <w:rPr>
          <w:b/>
        </w:rPr>
        <w:t>í úroveň v hierarchii odpadového hospodářství a je stále velmi vysoké.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jc w:val="left"/>
      </w:pPr>
      <w:r w:rsidRPr="00A14BBF">
        <w:t>Energetické využití komunálních odpadů se již dlouhodobě pohybuje okolo 12 %.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  <w:szCs w:val="24"/>
        </w:rPr>
      </w:pPr>
      <w:r w:rsidRPr="00A14BBF">
        <w:rPr>
          <w:rFonts w:ascii="Calibri" w:hAnsi="Calibri" w:cs="Calibri"/>
          <w:b/>
          <w:color w:val="000000"/>
          <w:szCs w:val="24"/>
        </w:rPr>
        <w:t>Převážná část směsného komunálního odpadu je odstraňována skládkováním</w:t>
      </w:r>
      <w:r w:rsidRPr="00A14BBF">
        <w:rPr>
          <w:rFonts w:ascii="Calibri" w:hAnsi="Calibri" w:cs="Calibri"/>
          <w:color w:val="000000"/>
          <w:szCs w:val="24"/>
        </w:rPr>
        <w:t xml:space="preserve">, které meziročně </w:t>
      </w:r>
      <w:r w:rsidRPr="00A14BBF">
        <w:rPr>
          <w:rFonts w:ascii="Calibri" w:hAnsi="Calibri" w:cs="Calibri"/>
          <w:b/>
          <w:color w:val="000000"/>
          <w:szCs w:val="24"/>
        </w:rPr>
        <w:t>vzrostlo</w:t>
      </w:r>
      <w:r w:rsidRPr="00A14BBF">
        <w:rPr>
          <w:rFonts w:ascii="Calibri" w:hAnsi="Calibri" w:cs="Calibri"/>
          <w:color w:val="000000"/>
          <w:szCs w:val="24"/>
        </w:rPr>
        <w:t xml:space="preserve"> o 18,9 tis</w:t>
      </w:r>
      <w:r w:rsidRPr="00A14BBF">
        <w:rPr>
          <w:rFonts w:ascii="Calibri" w:hAnsi="Calibri" w:cs="Calibri"/>
          <w:color w:val="000000"/>
          <w:szCs w:val="24"/>
        </w:rPr>
        <w:t>. t. na 2 129,4 tis. t. Energetické využití směsného komunálního odpadu mírně vz</w:t>
      </w:r>
      <w:r w:rsidR="00E63784">
        <w:rPr>
          <w:rFonts w:ascii="Calibri" w:hAnsi="Calibri" w:cs="Calibri"/>
          <w:color w:val="000000"/>
          <w:szCs w:val="24"/>
        </w:rPr>
        <w:t>r</w:t>
      </w:r>
      <w:r w:rsidRPr="00A14BBF">
        <w:rPr>
          <w:rFonts w:ascii="Calibri" w:hAnsi="Calibri" w:cs="Calibri"/>
          <w:color w:val="000000"/>
          <w:szCs w:val="24"/>
        </w:rPr>
        <w:t>ostlo.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szCs w:val="24"/>
        </w:rPr>
      </w:pPr>
      <w:r w:rsidRPr="00A14BBF">
        <w:rPr>
          <w:rFonts w:ascii="Calibri" w:hAnsi="Calibri" w:cs="Calibri"/>
          <w:bCs/>
          <w:color w:val="000000"/>
          <w:szCs w:val="24"/>
        </w:rPr>
        <w:t>Meziročně došlo k mírnému poklesu skládkování BRKO. Přesto jsou BRKO s</w:t>
      </w:r>
      <w:r w:rsidRPr="00A14BBF">
        <w:rPr>
          <w:rFonts w:ascii="Calibri" w:hAnsi="Calibri" w:cs="Calibri"/>
          <w:color w:val="000000"/>
          <w:szCs w:val="24"/>
        </w:rPr>
        <w:t xml:space="preserve">tále ve velké míře skládkovány, zejména směsný komunální odpad.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szCs w:val="24"/>
        </w:rPr>
      </w:pPr>
      <w:r w:rsidRPr="00A14BBF">
        <w:rPr>
          <w:szCs w:val="24"/>
        </w:rPr>
        <w:t xml:space="preserve">Produkce </w:t>
      </w:r>
      <w:r w:rsidRPr="00A14BBF">
        <w:rPr>
          <w:b/>
          <w:szCs w:val="24"/>
        </w:rPr>
        <w:t>obalových odpadů</w:t>
      </w:r>
      <w:r w:rsidRPr="00A14BBF">
        <w:rPr>
          <w:szCs w:val="24"/>
        </w:rPr>
        <w:t xml:space="preserve"> meziročně mírně klesla o 0,5 % na </w:t>
      </w:r>
      <w:r w:rsidRPr="00A14BBF">
        <w:t>1 328,7 tis. t.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szCs w:val="24"/>
        </w:rPr>
      </w:pPr>
      <w:r w:rsidRPr="00A14BBF">
        <w:rPr>
          <w:b/>
        </w:rPr>
        <w:t xml:space="preserve">Podíl recyklovaných obalových odpadů </w:t>
      </w:r>
      <w:r w:rsidRPr="00A14BBF">
        <w:t xml:space="preserve">z celkového množství vzniklých obalových odpadů má v posledních letech </w:t>
      </w:r>
      <w:r w:rsidRPr="00A14BBF">
        <w:rPr>
          <w:b/>
        </w:rPr>
        <w:t>klesající trend</w:t>
      </w:r>
      <w:r w:rsidRPr="00A14BBF">
        <w:t>. Meziročně došlo i k mírnému poklesu množství recyklovaných odpadů z obalů o 48,4</w:t>
      </w:r>
      <w:r w:rsidRPr="00A14BBF">
        <w:t xml:space="preserve"> tis. t na celkových 902,3 tis. t v 2020.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spacing w:line="276" w:lineRule="auto"/>
        <w:ind w:left="714" w:hanging="357"/>
        <w:rPr>
          <w:szCs w:val="24"/>
        </w:rPr>
      </w:pPr>
      <w:r w:rsidRPr="00A14BBF">
        <w:t xml:space="preserve">Produkce </w:t>
      </w:r>
      <w:r w:rsidRPr="00A14BBF">
        <w:rPr>
          <w:b/>
        </w:rPr>
        <w:t>odpadů z vybraných výrobků</w:t>
      </w:r>
      <w:r w:rsidRPr="00A14BBF">
        <w:t xml:space="preserve"> se meziročně zvýšila, také </w:t>
      </w:r>
      <w:r w:rsidRPr="00A14BBF">
        <w:rPr>
          <w:b/>
        </w:rPr>
        <w:t>míra jejich zpětného odběru se rovněž zvýšila</w:t>
      </w:r>
      <w:r w:rsidRPr="00A14BBF">
        <w:t>, ale u elektrozařízení stále není dostatečná.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b/>
          <w:color w:val="000000"/>
          <w:szCs w:val="24"/>
        </w:rPr>
      </w:pPr>
      <w:r w:rsidRPr="00A14BBF">
        <w:lastRenderedPageBreak/>
        <w:t>Nejčastějším způsobem využití odpadů vybraných výrobků je m</w:t>
      </w:r>
      <w:r w:rsidRPr="00A14BBF">
        <w:t xml:space="preserve">ateriálové a energetické využití. </w:t>
      </w:r>
      <w:r w:rsidRPr="00A14BBF">
        <w:rPr>
          <w:b/>
        </w:rPr>
        <w:t xml:space="preserve">Míra materiálového využití odpadů vybraných výrobků se postupně zvyšuje. 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szCs w:val="24"/>
        </w:rPr>
      </w:pPr>
      <w:r w:rsidRPr="00A14BBF">
        <w:rPr>
          <w:bCs/>
        </w:rPr>
        <w:t>Nejvíce jsou produkovány stavební a demoliční odpady a jejich využití je vysoké až se blíží ke 100 %.</w:t>
      </w:r>
    </w:p>
    <w:p w:rsidR="00506B64" w:rsidRPr="00A14BBF" w:rsidRDefault="008C12E6" w:rsidP="00506B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b/>
          <w:color w:val="000000"/>
          <w:szCs w:val="24"/>
        </w:rPr>
      </w:pPr>
      <w:r w:rsidRPr="00A14BBF">
        <w:rPr>
          <w:b/>
        </w:rPr>
        <w:t xml:space="preserve">Odpadové hospodářství se daří posouvat směrem </w:t>
      </w:r>
      <w:r w:rsidRPr="00A14BBF">
        <w:rPr>
          <w:b/>
        </w:rPr>
        <w:t xml:space="preserve">k oběhovému hospodářství. </w:t>
      </w:r>
    </w:p>
    <w:p w:rsidR="008F1CAF" w:rsidRPr="00A14BBF" w:rsidRDefault="008F1CAF" w:rsidP="008F1CAF">
      <w:pPr>
        <w:pStyle w:val="Odrka"/>
        <w:spacing w:line="276" w:lineRule="auto"/>
        <w:rPr>
          <w:sz w:val="24"/>
          <w:szCs w:val="24"/>
        </w:rPr>
      </w:pPr>
    </w:p>
    <w:p w:rsidR="00506B64" w:rsidRPr="00A14BBF" w:rsidRDefault="00506B64">
      <w:pPr>
        <w:spacing w:after="200" w:line="276" w:lineRule="auto"/>
        <w:jc w:val="left"/>
        <w:rPr>
          <w:rFonts w:eastAsia="Graphik LG Regular" w:cs="Graphik LG Regular"/>
          <w:szCs w:val="24"/>
        </w:rPr>
      </w:pPr>
    </w:p>
    <w:p w:rsidR="00A817CE" w:rsidRPr="00A14BBF" w:rsidRDefault="00A817CE" w:rsidP="008F1CAF">
      <w:pPr>
        <w:pStyle w:val="Odrka"/>
        <w:spacing w:line="276" w:lineRule="auto"/>
        <w:rPr>
          <w:sz w:val="24"/>
          <w:szCs w:val="24"/>
        </w:rPr>
      </w:pPr>
    </w:p>
    <w:p w:rsidR="00193686" w:rsidRPr="00A14BBF" w:rsidRDefault="008C12E6" w:rsidP="00193686">
      <w:pPr>
        <w:pStyle w:val="Nadpis3"/>
      </w:pPr>
      <w:bookmarkStart w:id="34" w:name="_Toc256000008"/>
      <w:r w:rsidRPr="00A14BBF">
        <w:t>Hodnocení působení implementace POH ČR na životní prostředí</w:t>
      </w:r>
      <w:bookmarkEnd w:id="34"/>
    </w:p>
    <w:p w:rsidR="00B436C3" w:rsidRPr="00A14BBF" w:rsidRDefault="008C12E6" w:rsidP="00B436C3">
      <w:pPr>
        <w:spacing w:line="276" w:lineRule="auto"/>
        <w:rPr>
          <w:rFonts w:eastAsia="Times New Roman"/>
          <w:b/>
          <w:bCs/>
          <w:color w:val="000000" w:themeColor="text1"/>
          <w:szCs w:val="24"/>
          <w:lang w:eastAsia="cs-CZ"/>
        </w:rPr>
      </w:pPr>
      <w:r w:rsidRPr="00A14BBF">
        <w:rPr>
          <w:rFonts w:eastAsia="Times New Roman"/>
          <w:bCs/>
          <w:color w:val="000000" w:themeColor="text1"/>
          <w:szCs w:val="24"/>
          <w:lang w:eastAsia="cs-CZ"/>
        </w:rPr>
        <w:t>Indikátory k hodnocení působení implementace POH ČR na životní prostředí jsou shodné s indikátory k hodnocení vývoje odpadového hospodářství a plnění POH ČR. Další sl</w:t>
      </w:r>
      <w:r w:rsidRPr="00A14BBF">
        <w:rPr>
          <w:rFonts w:eastAsia="Times New Roman"/>
          <w:bCs/>
          <w:color w:val="000000" w:themeColor="text1"/>
          <w:szCs w:val="24"/>
          <w:lang w:eastAsia="cs-CZ"/>
        </w:rPr>
        <w:t xml:space="preserve">edované indikátory oproti indikátorům hodnotícím vývoj a plnění POH ČR jsou např. plocha rekultivovaných starých skládek z podpořených projektů OPŽP, pro rok 2020: závazky z projektů s vydaným právním aktem: </w:t>
      </w:r>
      <w:r w:rsidRPr="00A14BBF">
        <w:rPr>
          <w:rFonts w:eastAsia="Times New Roman"/>
          <w:b/>
          <w:bCs/>
          <w:color w:val="000000" w:themeColor="text1"/>
          <w:szCs w:val="24"/>
          <w:lang w:eastAsia="cs-CZ"/>
        </w:rPr>
        <w:t xml:space="preserve">253 252,6 m2, </w:t>
      </w:r>
      <w:r w:rsidRPr="00A14BBF">
        <w:rPr>
          <w:rFonts w:eastAsia="Times New Roman"/>
          <w:bCs/>
          <w:color w:val="000000" w:themeColor="text1"/>
          <w:szCs w:val="24"/>
          <w:lang w:eastAsia="cs-CZ"/>
        </w:rPr>
        <w:t xml:space="preserve">dosažená hodnota: </w:t>
      </w:r>
      <w:r w:rsidRPr="00A14BBF">
        <w:rPr>
          <w:rFonts w:eastAsia="Times New Roman"/>
          <w:b/>
          <w:bCs/>
          <w:color w:val="000000" w:themeColor="text1"/>
          <w:szCs w:val="24"/>
          <w:lang w:eastAsia="cs-CZ"/>
        </w:rPr>
        <w:t xml:space="preserve">114 184,26 m2. </w:t>
      </w:r>
    </w:p>
    <w:p w:rsidR="00F04B89" w:rsidRPr="00AA415F" w:rsidRDefault="008C12E6" w:rsidP="00B436C3">
      <w:pPr>
        <w:spacing w:line="276" w:lineRule="auto"/>
        <w:rPr>
          <w:rFonts w:eastAsia="Times New Roman"/>
          <w:bCs/>
          <w:color w:val="000000" w:themeColor="text1"/>
          <w:szCs w:val="24"/>
          <w:lang w:eastAsia="cs-CZ"/>
        </w:rPr>
      </w:pPr>
      <w:r w:rsidRPr="00A14BBF">
        <w:rPr>
          <w:rFonts w:eastAsia="Times New Roman"/>
          <w:bCs/>
          <w:color w:val="000000" w:themeColor="text1"/>
          <w:szCs w:val="24"/>
          <w:lang w:eastAsia="cs-CZ"/>
        </w:rPr>
        <w:t>Indikátory pro hodnocení působení implementace POH ČR na životní prostředí ukazují, že</w:t>
      </w:r>
      <w:r w:rsidR="00246632" w:rsidRPr="00A14BBF">
        <w:rPr>
          <w:rFonts w:eastAsia="Times New Roman"/>
          <w:bCs/>
          <w:color w:val="000000" w:themeColor="text1"/>
          <w:szCs w:val="24"/>
          <w:lang w:eastAsia="cs-CZ"/>
        </w:rPr>
        <w:t> </w:t>
      </w:r>
      <w:r w:rsidRPr="00A14BBF">
        <w:rPr>
          <w:rFonts w:eastAsia="Times New Roman"/>
          <w:bCs/>
          <w:color w:val="000000" w:themeColor="text1"/>
          <w:szCs w:val="24"/>
          <w:lang w:eastAsia="cs-CZ"/>
        </w:rPr>
        <w:t>realizace POH ČR nemá žádný negativní vliv na životní prostředí. Plnění cílů POH ČR působí na životní prostředí pozitivně.</w:t>
      </w:r>
      <w:r>
        <w:rPr>
          <w:rFonts w:eastAsia="Times New Roman"/>
          <w:bCs/>
          <w:color w:val="000000" w:themeColor="text1"/>
          <w:szCs w:val="24"/>
          <w:lang w:eastAsia="cs-CZ"/>
        </w:rPr>
        <w:t xml:space="preserve"> </w:t>
      </w:r>
    </w:p>
    <w:p w:rsidR="008F1CAF" w:rsidRDefault="008C12E6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CA1F20" w:rsidRPr="00A14BBF" w:rsidRDefault="008C12E6" w:rsidP="00594108">
      <w:pPr>
        <w:pStyle w:val="Nadpis1"/>
      </w:pPr>
      <w:bookmarkStart w:id="35" w:name="_Toc256000009"/>
      <w:r w:rsidRPr="00A14BBF">
        <w:lastRenderedPageBreak/>
        <w:t>Vyh</w:t>
      </w:r>
      <w:r w:rsidR="00D66A1B" w:rsidRPr="00A14BBF">
        <w:t>odnocení plnění cílů POH ČR</w:t>
      </w:r>
      <w:bookmarkEnd w:id="35"/>
      <w:r w:rsidR="00A37973" w:rsidRPr="00A14BBF">
        <w:t xml:space="preserve"> </w:t>
      </w:r>
    </w:p>
    <w:p w:rsidR="007C0A50" w:rsidRPr="00A14BBF" w:rsidRDefault="007C0A50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09"/>
        <w:gridCol w:w="709"/>
        <w:gridCol w:w="5528"/>
      </w:tblGrid>
      <w:tr w:rsidR="007E5173" w:rsidTr="00A05915"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B5453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B5453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B5453" w:rsidRPr="00A14BBF" w:rsidRDefault="008C12E6" w:rsidP="001C1AF2">
            <w:pPr>
              <w:spacing w:line="276" w:lineRule="auto"/>
              <w:jc w:val="center"/>
            </w:pPr>
            <w:r w:rsidRPr="00A14BBF">
              <w:t>3.1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5453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  <w:szCs w:val="24"/>
              </w:rPr>
              <w:t>Předcházení vzniku odpadů a snižování měrné produkce odpadů.</w:t>
            </w:r>
          </w:p>
        </w:tc>
      </w:tr>
      <w:tr w:rsidR="007E5173" w:rsidTr="00A05915">
        <w:tc>
          <w:tcPr>
            <w:tcW w:w="2253" w:type="dxa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B3167" w:rsidRPr="00A14BBF" w:rsidRDefault="008C12E6" w:rsidP="006C267E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Hodnocení stavu plnění cíle 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B3167" w:rsidRPr="00A14BBF" w:rsidRDefault="008C12E6" w:rsidP="002C15AF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A14BBF">
              <w:rPr>
                <w:rFonts w:ascii="Calibri" w:hAnsi="Calibri"/>
                <w:b/>
                <w:szCs w:val="24"/>
              </w:rPr>
              <w:t>Cíl plněn částečně</w:t>
            </w:r>
            <w:r w:rsidR="00D429CC" w:rsidRPr="00A14BBF">
              <w:rPr>
                <w:rFonts w:ascii="Calibri" w:hAnsi="Calibri"/>
                <w:b/>
                <w:szCs w:val="24"/>
              </w:rPr>
              <w:t>.</w:t>
            </w:r>
          </w:p>
          <w:p w:rsidR="00506B64" w:rsidRPr="00A14BBF" w:rsidRDefault="008C12E6" w:rsidP="002C15AF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 xml:space="preserve">Přestože </w:t>
            </w:r>
            <w:r w:rsidRPr="00A14BBF">
              <w:rPr>
                <w:b/>
                <w:szCs w:val="24"/>
              </w:rPr>
              <w:t>produkce odpadů roste</w:t>
            </w:r>
            <w:r w:rsidRPr="00A14BBF">
              <w:rPr>
                <w:szCs w:val="24"/>
              </w:rPr>
              <w:t xml:space="preserve"> je pravděpodobné, že kdyby nedocházelo k žádným akcím a osvětové činnosti v oblasti prevence vzniku odpadů, pak by produkce rostla daleko strměji a rychleji. </w:t>
            </w:r>
          </w:p>
          <w:p w:rsidR="00506B64" w:rsidRPr="00A14BBF" w:rsidRDefault="008C12E6" w:rsidP="002C15AF">
            <w:pPr>
              <w:spacing w:line="276" w:lineRule="auto"/>
              <w:rPr>
                <w:szCs w:val="24"/>
              </w:rPr>
            </w:pPr>
            <w:r w:rsidRPr="00A14BBF">
              <w:rPr>
                <w:b/>
                <w:szCs w:val="24"/>
              </w:rPr>
              <w:t>Produkce všech odpadů</w:t>
            </w:r>
            <w:r w:rsidRPr="00A14BBF">
              <w:rPr>
                <w:szCs w:val="24"/>
              </w:rPr>
              <w:t xml:space="preserve">, </w:t>
            </w:r>
            <w:r w:rsidR="008713BD" w:rsidRPr="00A14BBF">
              <w:rPr>
                <w:szCs w:val="24"/>
              </w:rPr>
              <w:t xml:space="preserve">ostatních </w:t>
            </w:r>
            <w:r w:rsidRPr="00A14BBF">
              <w:rPr>
                <w:szCs w:val="24"/>
              </w:rPr>
              <w:t xml:space="preserve">odpadů i nebezpečných </w:t>
            </w:r>
            <w:r w:rsidR="00881CFE" w:rsidRPr="00A14BBF">
              <w:rPr>
                <w:b/>
                <w:szCs w:val="24"/>
              </w:rPr>
              <w:t>vzrostla</w:t>
            </w:r>
            <w:r w:rsidRPr="00A14BBF">
              <w:rPr>
                <w:szCs w:val="24"/>
              </w:rPr>
              <w:t>.</w:t>
            </w:r>
            <w:r w:rsidR="00827150" w:rsidRPr="00A14BBF">
              <w:rPr>
                <w:szCs w:val="24"/>
              </w:rPr>
              <w:t xml:space="preserve"> </w:t>
            </w:r>
            <w:r w:rsidRPr="00A14BBF">
              <w:rPr>
                <w:b/>
                <w:szCs w:val="24"/>
              </w:rPr>
              <w:t xml:space="preserve">Produkce komunálních odpadů </w:t>
            </w:r>
            <w:r w:rsidRPr="00A14BBF">
              <w:rPr>
                <w:b/>
                <w:szCs w:val="24"/>
              </w:rPr>
              <w:t>meziročně mírně klesla</w:t>
            </w:r>
            <w:r w:rsidRPr="00A14BBF">
              <w:rPr>
                <w:szCs w:val="24"/>
              </w:rPr>
              <w:t xml:space="preserve"> o 2,5 % na hodnotu 5 729,9 tis. t, 535,5 kg.obyv.</w:t>
            </w:r>
            <w:r w:rsidRPr="00A14BBF">
              <w:rPr>
                <w:szCs w:val="24"/>
                <w:vertAlign w:val="superscript"/>
              </w:rPr>
              <w:t xml:space="preserve">-1 </w:t>
            </w:r>
            <w:r w:rsidRPr="00A14BBF">
              <w:rPr>
                <w:szCs w:val="24"/>
              </w:rPr>
              <w:t xml:space="preserve">v roce 2020. </w:t>
            </w:r>
            <w:r w:rsidRPr="00A14BBF">
              <w:rPr>
                <w:b/>
                <w:szCs w:val="24"/>
              </w:rPr>
              <w:t>Střednědobě se ovšem produkce komunálních odpadů zvyšuje.</w:t>
            </w:r>
            <w:r w:rsidRPr="00A14BBF">
              <w:rPr>
                <w:szCs w:val="24"/>
              </w:rPr>
              <w:t xml:space="preserve"> Tento pokles může indikovat otočení dosavadního trendu nárůstu měrné produkce komunálních odpadů. </w:t>
            </w:r>
            <w:r w:rsidR="007F614E">
              <w:t>Navíc rok 2020 byl již ovlivněn pandemií nemoci Covid-19</w:t>
            </w:r>
            <w:r w:rsidR="007F614E" w:rsidRPr="00A14BBF">
              <w:t>.</w:t>
            </w:r>
            <w:r w:rsidR="007F614E">
              <w:t xml:space="preserve"> </w:t>
            </w:r>
            <w:r w:rsidRPr="00A14BBF">
              <w:rPr>
                <w:szCs w:val="24"/>
              </w:rPr>
              <w:t>Situaci je třeba dále sledovat. Pozitivní je opětovné meziroční snížení podílu produkce komunálních odpadů na celkovém množství vyprodukovaných odpadů o 0,8 % na 14,9 % v roce 2020.</w:t>
            </w:r>
          </w:p>
          <w:p w:rsidR="00470490" w:rsidRPr="00A14BBF" w:rsidRDefault="008C12E6" w:rsidP="002C15AF">
            <w:pPr>
              <w:spacing w:line="276" w:lineRule="auto"/>
            </w:pPr>
            <w:r w:rsidRPr="00A14BBF">
              <w:rPr>
                <w:b/>
              </w:rPr>
              <w:t>Produkce ostatních odpadů me</w:t>
            </w:r>
            <w:r w:rsidRPr="00A14BBF">
              <w:rPr>
                <w:b/>
              </w:rPr>
              <w:t>ziročně vzrostla</w:t>
            </w:r>
            <w:r w:rsidRPr="00A14BBF">
              <w:t xml:space="preserve"> o 3,1 % na 36 721,8 tis. t v roce 2020.</w:t>
            </w:r>
          </w:p>
          <w:p w:rsidR="00506B64" w:rsidRPr="00A14BBF" w:rsidRDefault="008C12E6" w:rsidP="002C15AF">
            <w:pPr>
              <w:spacing w:line="276" w:lineRule="auto"/>
            </w:pPr>
            <w:r w:rsidRPr="00A14BBF">
              <w:rPr>
                <w:b/>
              </w:rPr>
              <w:t>Produkce nebezpečných odpadů meziročně nepatrně vzrostla</w:t>
            </w:r>
            <w:r w:rsidRPr="00A14BBF">
              <w:t xml:space="preserve"> o 1,3</w:t>
            </w:r>
            <w:r w:rsidR="00E62800">
              <w:t> </w:t>
            </w:r>
            <w:r w:rsidRPr="00A14BBF">
              <w:t>% na 1 781,8 tis. t v roce 2020</w:t>
            </w:r>
            <w:r w:rsidR="00470490" w:rsidRPr="00A14BBF">
              <w:t>.</w:t>
            </w:r>
          </w:p>
          <w:p w:rsidR="00991E1F" w:rsidRPr="00A14BBF" w:rsidRDefault="008C12E6" w:rsidP="002C15AF">
            <w:pPr>
              <w:spacing w:line="276" w:lineRule="auto"/>
            </w:pPr>
            <w:r w:rsidRPr="00A14BBF">
              <w:t xml:space="preserve">V oblasti předcházení vzniku odpadů </w:t>
            </w:r>
            <w:r w:rsidR="00FB085D" w:rsidRPr="00A14BBF">
              <w:t>se zvyšuje informovanost a</w:t>
            </w:r>
            <w:r w:rsidR="00AD7C96" w:rsidRPr="00A14BBF">
              <w:t> </w:t>
            </w:r>
            <w:r w:rsidR="00D60599" w:rsidRPr="00A14BBF">
              <w:t xml:space="preserve">neustále </w:t>
            </w:r>
            <w:r w:rsidR="00FB085D" w:rsidRPr="00A14BBF">
              <w:t xml:space="preserve">roste počet projektů, činností a akcí. </w:t>
            </w:r>
          </w:p>
          <w:p w:rsidR="00E32CE7" w:rsidRPr="00A14BBF" w:rsidRDefault="008C12E6" w:rsidP="002C15AF">
            <w:pPr>
              <w:spacing w:line="276" w:lineRule="auto"/>
            </w:pPr>
            <w:r w:rsidRPr="00A14BBF">
              <w:t xml:space="preserve">Prevenci </w:t>
            </w:r>
            <w:r w:rsidR="00703E38" w:rsidRPr="00A14BBF">
              <w:t>vzniku odpadů se věnuje několik strategických dokumentů</w:t>
            </w:r>
            <w:r w:rsidRPr="00A14BBF">
              <w:t>, ty také obsahují cíle a opatření vztahující se k této oblasti. V letech 2019</w:t>
            </w:r>
            <w:r w:rsidR="00B90D24">
              <w:t>-</w:t>
            </w:r>
            <w:r w:rsidRPr="00A14BBF">
              <w:t>2020 bylo řešeno velké množství projektů výzkumu a vývoje se vztahem k předcházení vzniku odpadů. Uskute</w:t>
            </w:r>
            <w:r w:rsidRPr="00A14BBF">
              <w:t xml:space="preserve">čnilo se 14 konferencí, kurzů a </w:t>
            </w:r>
            <w:proofErr w:type="spellStart"/>
            <w:r w:rsidRPr="00A14BBF">
              <w:t>webinářů</w:t>
            </w:r>
            <w:proofErr w:type="spellEnd"/>
            <w:r w:rsidRPr="00A14BBF">
              <w:t>. V provozu je cca 20 informačních platforem a</w:t>
            </w:r>
            <w:r w:rsidR="00AD7C96" w:rsidRPr="00A14BBF">
              <w:t> </w:t>
            </w:r>
            <w:r w:rsidRPr="00A14BBF">
              <w:t xml:space="preserve">webových stránek s tématikou předcházení vzniku odpadů. Jsou využívány dobrovolné nástroje přispívající ke snížení produkce odpadů (dobrovolné dohody, EMS, EMAS, </w:t>
            </w:r>
            <w:proofErr w:type="spellStart"/>
            <w:r w:rsidRPr="00A14BBF">
              <w:t>ekoznač</w:t>
            </w:r>
            <w:r w:rsidRPr="00A14BBF">
              <w:t>ení</w:t>
            </w:r>
            <w:proofErr w:type="spellEnd"/>
            <w:r w:rsidRPr="00A14BBF">
              <w:t xml:space="preserve">, zelené veřejné zakázky a další). </w:t>
            </w:r>
          </w:p>
          <w:p w:rsidR="000800B0" w:rsidRPr="00A14BBF" w:rsidRDefault="008C12E6" w:rsidP="002C15AF">
            <w:pPr>
              <w:spacing w:line="276" w:lineRule="auto"/>
            </w:pPr>
            <w:r w:rsidRPr="00A14BBF">
              <w:t>V rámci výzev Operačních programů se podpořily moderní inovativní technologie s nižší produkcí odpadů. V</w:t>
            </w:r>
            <w:r w:rsidR="00E32CE7" w:rsidRPr="00A14BBF">
              <w:t> </w:t>
            </w:r>
            <w:r w:rsidRPr="00A14BBF">
              <w:t>posledních</w:t>
            </w:r>
            <w:r w:rsidR="00E32CE7" w:rsidRPr="00A14BBF">
              <w:t xml:space="preserve"> l</w:t>
            </w:r>
            <w:r w:rsidRPr="00A14BBF">
              <w:t xml:space="preserve">etech se rozrostly a zintenzivnily svou činnost potravinové banky. V tomto období má Česká federace potravinových bank 15 členů. Banky zachraňují potraviny, předchází potravinovému odpadu a rozdělují jídlo potřebným. </w:t>
            </w:r>
          </w:p>
          <w:p w:rsidR="00470490" w:rsidRPr="00A14BBF" w:rsidRDefault="008C12E6" w:rsidP="002C15AF">
            <w:pPr>
              <w:spacing w:line="276" w:lineRule="auto"/>
            </w:pPr>
            <w:r w:rsidRPr="00A14BBF">
              <w:lastRenderedPageBreak/>
              <w:t xml:space="preserve">V letech 2019-2020 bylo zorganizováno </w:t>
            </w:r>
            <w:r w:rsidRPr="00A14BBF">
              <w:t>ne</w:t>
            </w:r>
            <w:r w:rsidR="00E32CE7" w:rsidRPr="00A14BBF">
              <w:t>j</w:t>
            </w:r>
            <w:r w:rsidRPr="00A14BBF">
              <w:t xml:space="preserve">méně </w:t>
            </w:r>
            <w:r w:rsidR="00E32CE7" w:rsidRPr="00A14BBF">
              <w:t>50</w:t>
            </w:r>
            <w:r w:rsidRPr="00A14BBF">
              <w:t xml:space="preserve"> různých re-use aktivit a akcí přispívajících k prevenci vzniku odpadů. </w:t>
            </w:r>
          </w:p>
          <w:p w:rsidR="0054697A" w:rsidRPr="00A14BBF" w:rsidRDefault="008C12E6" w:rsidP="002C15AF">
            <w:pPr>
              <w:spacing w:line="276" w:lineRule="auto"/>
            </w:pPr>
            <w:r w:rsidRPr="00A14BBF">
              <w:t>MŽ</w:t>
            </w:r>
            <w:r w:rsidR="00E32CE7" w:rsidRPr="00A14BBF">
              <w:t>P</w:t>
            </w:r>
            <w:r w:rsidRPr="00A14BBF">
              <w:t xml:space="preserve"> dále silně informačně a dotačně podporuje akce k předcházení vzniku odpadů, včetně komunitního a domácího kompostování. Celkově</w:t>
            </w:r>
            <w:r w:rsidR="00E32CE7" w:rsidRPr="00A14BBF">
              <w:t xml:space="preserve"> </w:t>
            </w:r>
            <w:r w:rsidRPr="00A14BBF">
              <w:t xml:space="preserve">bylo </w:t>
            </w:r>
            <w:r w:rsidR="00E32CE7" w:rsidRPr="00A14BBF">
              <w:t>předáno</w:t>
            </w:r>
            <w:r w:rsidRPr="00A14BBF">
              <w:t xml:space="preserve"> zájemcům 180 tisíc kompostér</w:t>
            </w:r>
            <w:r w:rsidRPr="00A14BBF">
              <w:t>ů.</w:t>
            </w:r>
          </w:p>
          <w:p w:rsidR="000800B0" w:rsidRPr="00A14BBF" w:rsidRDefault="008C12E6" w:rsidP="002C15AF">
            <w:pPr>
              <w:spacing w:line="276" w:lineRule="auto"/>
            </w:pPr>
            <w:r w:rsidRPr="00A14BBF">
              <w:t xml:space="preserve">V obcích po celé ČR a </w:t>
            </w:r>
            <w:r w:rsidR="00E32CE7" w:rsidRPr="00A14BBF">
              <w:t xml:space="preserve">v </w:t>
            </w:r>
            <w:r w:rsidRPr="00A14BBF">
              <w:t>občanských sdružení</w:t>
            </w:r>
            <w:r w:rsidR="00E32CE7" w:rsidRPr="00A14BBF">
              <w:t>ch</w:t>
            </w:r>
            <w:r w:rsidRPr="00A14BBF">
              <w:t xml:space="preserve"> jsou pravidelně organizovány bazary zejména dětského oblečení, hraček, </w:t>
            </w:r>
            <w:r w:rsidR="00E32CE7" w:rsidRPr="00A14BBF">
              <w:t xml:space="preserve">knih, </w:t>
            </w:r>
            <w:r w:rsidRPr="00A14BBF">
              <w:t>sportovního náčiní apod. V obcích také v rámci sběrných dvorů stále častěji vznikají re-use koutky nabízející ještě funkční movité</w:t>
            </w:r>
            <w:r w:rsidRPr="00A14BBF">
              <w:t xml:space="preserve"> věci.  </w:t>
            </w:r>
          </w:p>
          <w:p w:rsidR="000800B0" w:rsidRPr="00A14BBF" w:rsidRDefault="008C12E6" w:rsidP="002C15AF">
            <w:pPr>
              <w:spacing w:line="276" w:lineRule="auto"/>
            </w:pPr>
            <w:r w:rsidRPr="00A14BBF">
              <w:t>Dále jsou v předcházení vzniku odpadů aktivní kolektivní systémy a</w:t>
            </w:r>
            <w:r w:rsidR="00AD7C96" w:rsidRPr="00A14BBF">
              <w:t> </w:t>
            </w:r>
            <w:r w:rsidRPr="00A14BBF">
              <w:t>autorizovaná obalová společnost často také ve spolupráci s kraji. Ti</w:t>
            </w:r>
            <w:r w:rsidR="0054697A" w:rsidRPr="00A14BBF">
              <w:t> </w:t>
            </w:r>
            <w:r w:rsidRPr="00A14BBF">
              <w:t xml:space="preserve">svými akcemi a výchovnými edukačními materiály přispívají k prevenci vzniku odpadů. </w:t>
            </w:r>
            <w:r w:rsidR="00E32CE7" w:rsidRPr="00A14BBF">
              <w:t>V letech 2019-2020 u</w:t>
            </w:r>
            <w:r w:rsidRPr="00A14BBF">
              <w:t>spořáda</w:t>
            </w:r>
            <w:r w:rsidRPr="00A14BBF">
              <w:t xml:space="preserve">li okolo 14 akcí. </w:t>
            </w:r>
          </w:p>
          <w:p w:rsidR="00A8479D" w:rsidRPr="00A14BBF" w:rsidRDefault="008C12E6" w:rsidP="002C15AF">
            <w:pPr>
              <w:spacing w:line="276" w:lineRule="auto"/>
            </w:pPr>
            <w:r w:rsidRPr="00A14BBF">
              <w:t xml:space="preserve">Celkově bylo podpořeno a probíhalo v letech </w:t>
            </w:r>
            <w:r w:rsidR="00E62800" w:rsidRPr="00A14BBF">
              <w:t>2019–2020</w:t>
            </w:r>
            <w:r w:rsidRPr="00A14BBF">
              <w:t xml:space="preserve"> </w:t>
            </w:r>
            <w:r w:rsidR="00E62800">
              <w:t xml:space="preserve">cca </w:t>
            </w:r>
            <w:r w:rsidR="00E62800" w:rsidRPr="00A14BBF">
              <w:t>127 projektů</w:t>
            </w:r>
            <w:r w:rsidRPr="00A14BBF">
              <w:t xml:space="preserve"> </w:t>
            </w:r>
            <w:r w:rsidR="0054697A" w:rsidRPr="00A14BBF">
              <w:t>z</w:t>
            </w:r>
            <w:r w:rsidRPr="00A14BBF">
              <w:t xml:space="preserve">ahrnujících v sobě </w:t>
            </w:r>
            <w:r w:rsidR="0054697A" w:rsidRPr="00A14BBF">
              <w:t>i problematiku předcházení vzniku odpadů a zlepšení odpadového a oběhového hospodářství.</w:t>
            </w:r>
          </w:p>
          <w:p w:rsidR="00470490" w:rsidRPr="00A14BBF" w:rsidRDefault="008C12E6" w:rsidP="002C15AF">
            <w:pPr>
              <w:spacing w:line="276" w:lineRule="auto"/>
            </w:pPr>
            <w:r w:rsidRPr="00A14BBF">
              <w:t>Z výše uvedeného je patrné, že se v ČR úspěšně daří šířit</w:t>
            </w:r>
            <w:r w:rsidRPr="00A14BBF">
              <w:t xml:space="preserve"> </w:t>
            </w:r>
            <w:r w:rsidR="00E32CE7" w:rsidRPr="00A14BBF">
              <w:t>přístup</w:t>
            </w:r>
            <w:r w:rsidRPr="00A14BBF">
              <w:t xml:space="preserve"> předcházení vzniku odpadů a velký počet akcí zcela jistě musí mít pozitivní dopady na snížení produkce odpadů. </w:t>
            </w:r>
          </w:p>
        </w:tc>
      </w:tr>
    </w:tbl>
    <w:p w:rsidR="006C267E" w:rsidRPr="00A14BBF" w:rsidRDefault="006C267E" w:rsidP="001C1AF2">
      <w:pPr>
        <w:spacing w:line="276" w:lineRule="auto"/>
        <w:rPr>
          <w:b/>
          <w:sz w:val="26"/>
          <w:szCs w:val="26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09"/>
        <w:gridCol w:w="709"/>
        <w:gridCol w:w="5528"/>
      </w:tblGrid>
      <w:tr w:rsidR="007E5173" w:rsidTr="00A05915"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B46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B46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B46" w:rsidRPr="00A14BBF" w:rsidRDefault="008C12E6" w:rsidP="001C1AF2">
            <w:pPr>
              <w:spacing w:line="276" w:lineRule="auto"/>
              <w:jc w:val="center"/>
            </w:pPr>
            <w:r w:rsidRPr="00A14BBF">
              <w:t>3.1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6B46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  <w:szCs w:val="24"/>
              </w:rPr>
              <w:t>Minimalizace nepříznivých účinků vzniku odpadů a nakládání s nimi na lidské zdraví a životní prostředí.</w:t>
            </w:r>
          </w:p>
        </w:tc>
      </w:tr>
      <w:tr w:rsidR="007E5173" w:rsidTr="00A05915">
        <w:tc>
          <w:tcPr>
            <w:tcW w:w="2253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6481" w:rsidRPr="00A14BBF" w:rsidRDefault="008C12E6" w:rsidP="00096481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Hodnocení stavu </w:t>
            </w:r>
            <w:r w:rsidRPr="00A14BBF">
              <w:rPr>
                <w:b/>
              </w:rPr>
              <w:t>plnění cíle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481" w:rsidRPr="00A14BBF" w:rsidRDefault="008C12E6" w:rsidP="00096481">
            <w:pPr>
              <w:spacing w:line="276" w:lineRule="auto"/>
              <w:jc w:val="left"/>
              <w:rPr>
                <w:b/>
                <w:szCs w:val="24"/>
              </w:rPr>
            </w:pPr>
            <w:r w:rsidRPr="00A14BBF">
              <w:rPr>
                <w:b/>
                <w:szCs w:val="24"/>
              </w:rPr>
              <w:t>Cíl plněn</w:t>
            </w:r>
            <w:r w:rsidR="00D429CC" w:rsidRPr="00A14BBF">
              <w:rPr>
                <w:b/>
                <w:szCs w:val="24"/>
              </w:rPr>
              <w:t>.</w:t>
            </w:r>
          </w:p>
          <w:p w:rsidR="009A72F5" w:rsidRPr="00A14BBF" w:rsidRDefault="008C12E6" w:rsidP="00740BE7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 xml:space="preserve">Produkce odpadů i nebezpečných odpadů </w:t>
            </w:r>
            <w:r w:rsidR="00881CFE" w:rsidRPr="00A14BBF">
              <w:rPr>
                <w:szCs w:val="24"/>
              </w:rPr>
              <w:t>vzrostla</w:t>
            </w:r>
            <w:r w:rsidRPr="00A14BBF">
              <w:rPr>
                <w:szCs w:val="24"/>
              </w:rPr>
              <w:t xml:space="preserve">. </w:t>
            </w:r>
            <w:r w:rsidR="00881CFE" w:rsidRPr="00A14BBF">
              <w:rPr>
                <w:szCs w:val="24"/>
              </w:rPr>
              <w:t>Ovšem s</w:t>
            </w:r>
            <w:r w:rsidRPr="00A14BBF">
              <w:rPr>
                <w:szCs w:val="24"/>
              </w:rPr>
              <w:t xml:space="preserve"> nebezpečnými odpady je správně nakládáno. </w:t>
            </w:r>
            <w:r w:rsidR="00914275" w:rsidRPr="00A14BBF">
              <w:rPr>
                <w:szCs w:val="24"/>
              </w:rPr>
              <w:t>Většina nebezpečných odpadů je upravována, aby byl</w:t>
            </w:r>
            <w:r w:rsidR="00E62800">
              <w:rPr>
                <w:szCs w:val="24"/>
              </w:rPr>
              <w:t>a</w:t>
            </w:r>
            <w:r w:rsidR="00914275" w:rsidRPr="00A14BBF">
              <w:rPr>
                <w:szCs w:val="24"/>
              </w:rPr>
              <w:t xml:space="preserve"> významně snížena jejich nebezpečnost a snížil se jejich vliv na životní prostředí. </w:t>
            </w:r>
          </w:p>
          <w:p w:rsidR="009A72F5" w:rsidRPr="00A14BBF" w:rsidRDefault="008C12E6" w:rsidP="009A72F5">
            <w:pPr>
              <w:spacing w:line="276" w:lineRule="auto"/>
            </w:pPr>
            <w:r w:rsidRPr="00A14BBF">
              <w:t xml:space="preserve">V roce 2020 bylo 51 % produkovaných nebezpečných odpadů tj. 905 tis. t. upravováno různými způsoby úpravy, které eliminují nebo snižují jejich nebezpečné vlastnosti, což významně přispívá </w:t>
            </w:r>
            <w:r w:rsidR="00E62800">
              <w:t>k </w:t>
            </w:r>
            <w:r w:rsidRPr="00A14BBF">
              <w:t>minimalizaci rizik při manipulaci a nakládání s nimi a zvyšuje oc</w:t>
            </w:r>
            <w:r w:rsidRPr="00A14BBF">
              <w:t xml:space="preserve">hranu životního prostředí.  V roce 2019 to bylo 52 %, </w:t>
            </w:r>
            <w:r w:rsidR="005329A4" w:rsidRPr="00A14BBF">
              <w:t xml:space="preserve">tedy </w:t>
            </w:r>
            <w:r w:rsidRPr="00A14BBF">
              <w:t>917 tis. t</w:t>
            </w:r>
            <w:r w:rsidR="005329A4" w:rsidRPr="00A14BBF">
              <w:t xml:space="preserve"> odpadů</w:t>
            </w:r>
            <w:r w:rsidRPr="00A14BBF">
              <w:t xml:space="preserve">.  </w:t>
            </w:r>
          </w:p>
          <w:p w:rsidR="002C15AF" w:rsidRPr="00A14BBF" w:rsidRDefault="008C12E6" w:rsidP="00740BE7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>Nebezpečné odpady jsou upraveny ihned při jejich vzniku u původce, nebo následně v jiných zařízení k úpravě odpadů. Odpady zbavené nebezpečné vlastnosti jsou využity nebo odstr</w:t>
            </w:r>
            <w:r w:rsidRPr="00A14BBF">
              <w:rPr>
                <w:szCs w:val="24"/>
              </w:rPr>
              <w:t xml:space="preserve">aněny se zajištěním minimalizace nepříznivých účinků na životní prostředí. </w:t>
            </w:r>
          </w:p>
          <w:p w:rsidR="002C15AF" w:rsidRPr="00A14BBF" w:rsidRDefault="008C12E6" w:rsidP="00740BE7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lastRenderedPageBreak/>
              <w:t xml:space="preserve">Nebezpečné odpady jsou odstraňovány ve spalovnách nebezpečných odpadů a na zabezpečených skládkách nebezpečných odpadů. Vliv na životní prostředí je minimalizován. </w:t>
            </w:r>
          </w:p>
          <w:p w:rsidR="002C15AF" w:rsidRPr="00A14BBF" w:rsidRDefault="008C12E6" w:rsidP="00740BE7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 xml:space="preserve">Legislativně </w:t>
            </w:r>
            <w:r w:rsidR="00734CBD" w:rsidRPr="00A14BBF">
              <w:rPr>
                <w:szCs w:val="24"/>
              </w:rPr>
              <w:t>a</w:t>
            </w:r>
            <w:r w:rsidR="00881CFE" w:rsidRPr="00A14BBF">
              <w:rPr>
                <w:szCs w:val="24"/>
              </w:rPr>
              <w:t> </w:t>
            </w:r>
            <w:r w:rsidR="00734CBD" w:rsidRPr="00A14BBF">
              <w:rPr>
                <w:szCs w:val="24"/>
              </w:rPr>
              <w:t xml:space="preserve">metodicky </w:t>
            </w:r>
            <w:r w:rsidRPr="00A14BBF">
              <w:rPr>
                <w:szCs w:val="24"/>
              </w:rPr>
              <w:t xml:space="preserve">jsou nastavena pravidla pro nakládání s nebezpečnými odpady v souladu s EU. </w:t>
            </w:r>
          </w:p>
          <w:p w:rsidR="00881CFE" w:rsidRPr="00A14BBF" w:rsidRDefault="008C12E6" w:rsidP="00740BE7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 xml:space="preserve">Úspěšně je provozován </w:t>
            </w:r>
            <w:r w:rsidR="00F708FE" w:rsidRPr="00A14BBF">
              <w:rPr>
                <w:szCs w:val="24"/>
              </w:rPr>
              <w:t>S</w:t>
            </w:r>
            <w:r w:rsidR="00831B64" w:rsidRPr="00A14BBF">
              <w:rPr>
                <w:szCs w:val="24"/>
              </w:rPr>
              <w:t>ystém elektronického sledování přepravy nebezpečných odpadů tzv. SEPNO</w:t>
            </w:r>
            <w:r w:rsidRPr="00A14BBF">
              <w:rPr>
                <w:szCs w:val="24"/>
              </w:rPr>
              <w:t xml:space="preserve">, umožňující v reálném čase sledovat přepravu </w:t>
            </w:r>
            <w:r w:rsidRPr="00A14BBF">
              <w:rPr>
                <w:bCs/>
              </w:rPr>
              <w:t>nebezpečných odpadů po území Č</w:t>
            </w:r>
            <w:r w:rsidRPr="00A14BBF">
              <w:rPr>
                <w:bCs/>
              </w:rPr>
              <w:t xml:space="preserve">R. </w:t>
            </w:r>
            <w:r w:rsidR="002C15AF" w:rsidRPr="00A14BBF">
              <w:rPr>
                <w:bCs/>
              </w:rPr>
              <w:t xml:space="preserve">Systém zaznamenává statisíce přeprav nebezpečných odpadů. </w:t>
            </w:r>
            <w:r w:rsidRPr="00A14BBF">
              <w:rPr>
                <w:bCs/>
              </w:rPr>
              <w:t xml:space="preserve">Systém je používán </w:t>
            </w:r>
            <w:r w:rsidR="002C15AF" w:rsidRPr="00A14BBF">
              <w:rPr>
                <w:bCs/>
              </w:rPr>
              <w:t xml:space="preserve">i </w:t>
            </w:r>
            <w:r w:rsidRPr="00A14BBF">
              <w:rPr>
                <w:bCs/>
              </w:rPr>
              <w:t xml:space="preserve">pro rozkrytí nelegálního nakládání s odpady.  </w:t>
            </w:r>
          </w:p>
        </w:tc>
      </w:tr>
    </w:tbl>
    <w:p w:rsidR="00F37BDE" w:rsidRPr="00A14BBF" w:rsidRDefault="00F37BDE" w:rsidP="00F37BDE">
      <w:pPr>
        <w:spacing w:line="276" w:lineRule="auto"/>
        <w:rPr>
          <w:b/>
          <w:szCs w:val="24"/>
          <w:u w:val="single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09"/>
        <w:gridCol w:w="709"/>
        <w:gridCol w:w="5528"/>
      </w:tblGrid>
      <w:tr w:rsidR="007E5173" w:rsidTr="00A05915"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FD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FD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4FDA" w:rsidRPr="00A14BBF" w:rsidRDefault="008C12E6" w:rsidP="001C1AF2">
            <w:pPr>
              <w:spacing w:line="276" w:lineRule="auto"/>
              <w:jc w:val="center"/>
            </w:pPr>
            <w:r w:rsidRPr="00A14BBF">
              <w:t>3.1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FDA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  <w:szCs w:val="24"/>
              </w:rPr>
              <w:t>Udržitelný rozvoj společnosti a přiblížení se k evropské „recyklační společnosti“</w:t>
            </w:r>
            <w:r w:rsidRPr="00A14BBF">
              <w:rPr>
                <w:szCs w:val="24"/>
              </w:rPr>
              <w:t>.</w:t>
            </w:r>
          </w:p>
        </w:tc>
      </w:tr>
      <w:tr w:rsidR="007E5173" w:rsidTr="00A05915">
        <w:tc>
          <w:tcPr>
            <w:tcW w:w="2253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6001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150" w:rsidRPr="00A14BBF" w:rsidRDefault="008C12E6" w:rsidP="00827150">
            <w:pPr>
              <w:spacing w:line="276" w:lineRule="auto"/>
              <w:jc w:val="left"/>
              <w:rPr>
                <w:b/>
                <w:szCs w:val="24"/>
              </w:rPr>
            </w:pPr>
            <w:r w:rsidRPr="00A14BBF">
              <w:rPr>
                <w:b/>
                <w:szCs w:val="24"/>
              </w:rPr>
              <w:t>Cíl plněn.</w:t>
            </w:r>
          </w:p>
          <w:p w:rsidR="00691957" w:rsidRPr="00A14BBF" w:rsidRDefault="008C12E6" w:rsidP="004A1080">
            <w:pPr>
              <w:spacing w:after="120" w:line="276" w:lineRule="auto"/>
              <w:rPr>
                <w:b/>
                <w:szCs w:val="24"/>
              </w:rPr>
            </w:pPr>
            <w:r w:rsidRPr="00A14BBF">
              <w:rPr>
                <w:b/>
              </w:rPr>
              <w:t>V nakládání s odpady převažuje materiálové využití odpadů. Podíl materiálového využití odpadů</w:t>
            </w:r>
            <w:r w:rsidRPr="00A14BBF">
              <w:t xml:space="preserve"> na celkové produkci meziročně opět </w:t>
            </w:r>
            <w:r w:rsidRPr="00A14BBF">
              <w:rPr>
                <w:b/>
              </w:rPr>
              <w:t>vzrostl</w:t>
            </w:r>
            <w:r w:rsidRPr="00A14BBF">
              <w:t xml:space="preserve"> o 1,4 % na 86,2 % v roce 2020.  Množství materiálově využitých odpadů dosáhlo 33 miliónů tun v roce 2020. Dr</w:t>
            </w:r>
            <w:r w:rsidRPr="00A14BBF">
              <w:t>uhý nejčastější způsoby materiálového využití odpadů je recyklace. O</w:t>
            </w:r>
            <w:r w:rsidR="00647CDE" w:rsidRPr="00A14BBF">
              <w:t xml:space="preserve">dpadové hospodářství ČR </w:t>
            </w:r>
            <w:r w:rsidRPr="00A14BBF">
              <w:t xml:space="preserve">se opět posunulo k </w:t>
            </w:r>
            <w:r w:rsidR="00647CDE" w:rsidRPr="00A14BBF">
              <w:t>vyšší</w:t>
            </w:r>
            <w:r w:rsidRPr="00A14BBF">
              <w:t>m</w:t>
            </w:r>
            <w:r w:rsidR="00647CDE" w:rsidRPr="00A14BBF">
              <w:t xml:space="preserve"> stupňům hierarchie nakládání s odpady.</w:t>
            </w:r>
          </w:p>
        </w:tc>
      </w:tr>
    </w:tbl>
    <w:p w:rsidR="00107883" w:rsidRPr="00A14BBF" w:rsidRDefault="00107883" w:rsidP="001C1AF2">
      <w:pPr>
        <w:spacing w:line="276" w:lineRule="auto"/>
        <w:rPr>
          <w:b/>
          <w:sz w:val="26"/>
          <w:szCs w:val="26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09"/>
        <w:gridCol w:w="709"/>
        <w:gridCol w:w="5528"/>
      </w:tblGrid>
      <w:tr w:rsidR="007E5173" w:rsidTr="00A05915">
        <w:tc>
          <w:tcPr>
            <w:tcW w:w="225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6D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6D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806DC" w:rsidRPr="00A14BBF" w:rsidRDefault="008C12E6" w:rsidP="001C1AF2">
            <w:pPr>
              <w:spacing w:line="276" w:lineRule="auto"/>
              <w:jc w:val="center"/>
            </w:pPr>
            <w:r w:rsidRPr="00A14BBF">
              <w:t>3.1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6DC" w:rsidRPr="00A14BBF" w:rsidRDefault="008C12E6" w:rsidP="001C1AF2">
            <w:pPr>
              <w:spacing w:line="276" w:lineRule="auto"/>
              <w:ind w:left="33"/>
              <w:rPr>
                <w:b/>
              </w:rPr>
            </w:pPr>
            <w:r w:rsidRPr="00A14BBF">
              <w:rPr>
                <w:b/>
                <w:szCs w:val="24"/>
              </w:rPr>
              <w:t xml:space="preserve">Maximální využívání odpadů jako náhrady primárních zdrojů a přechod na oběhové hospodářství.  </w:t>
            </w:r>
          </w:p>
        </w:tc>
      </w:tr>
      <w:tr w:rsidR="007E5173" w:rsidTr="00A05915">
        <w:tc>
          <w:tcPr>
            <w:tcW w:w="2253" w:type="dxa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625178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25178" w:rsidRPr="00A14BBF" w:rsidRDefault="008C12E6" w:rsidP="002C15AF">
            <w:pPr>
              <w:spacing w:line="276" w:lineRule="auto"/>
              <w:rPr>
                <w:b/>
                <w:szCs w:val="24"/>
              </w:rPr>
            </w:pPr>
            <w:r w:rsidRPr="00A14BBF">
              <w:rPr>
                <w:b/>
                <w:szCs w:val="24"/>
              </w:rPr>
              <w:t>Cíl plněn částečně.</w:t>
            </w:r>
          </w:p>
          <w:p w:rsidR="004A1080" w:rsidRPr="00A14BBF" w:rsidRDefault="008C12E6" w:rsidP="002C15AF">
            <w:pPr>
              <w:spacing w:line="276" w:lineRule="auto"/>
            </w:pPr>
            <w:r w:rsidRPr="00A14BBF">
              <w:rPr>
                <w:b/>
              </w:rPr>
              <w:t>V nakládání s odpady převažuje materiálové využití odpadů. Podíl materiálového využití odpadů</w:t>
            </w:r>
            <w:r w:rsidRPr="00A14BBF">
              <w:t xml:space="preserve"> na celkové produkci meziročně opět </w:t>
            </w:r>
            <w:r w:rsidRPr="00A14BBF">
              <w:rPr>
                <w:b/>
              </w:rPr>
              <w:t>vzrostl</w:t>
            </w:r>
            <w:r w:rsidRPr="00A14BBF">
              <w:t xml:space="preserve"> o 1,4 % na 86,2 % v roce 2020.  Množství materiálově využitých odpadů dosáhlo 33 miliónů tun v roce 2020.</w:t>
            </w:r>
          </w:p>
          <w:p w:rsidR="00695E84" w:rsidRPr="00A14BBF" w:rsidRDefault="008C12E6" w:rsidP="002C15AF">
            <w:pPr>
              <w:spacing w:line="276" w:lineRule="auto"/>
              <w:rPr>
                <w:szCs w:val="24"/>
              </w:rPr>
            </w:pPr>
            <w:r w:rsidRPr="00A14BBF">
              <w:t>Podpořeno bylo velké množství projektů a investičních záměrů, které zpracovávají od</w:t>
            </w:r>
            <w:r w:rsidR="009D6BD0" w:rsidRPr="00A14BBF">
              <w:t>p</w:t>
            </w:r>
            <w:r w:rsidRPr="00A14BBF">
              <w:t xml:space="preserve">ady. </w:t>
            </w:r>
            <w:r w:rsidR="001D61F9" w:rsidRPr="00A14BBF">
              <w:t>O</w:t>
            </w:r>
            <w:r w:rsidR="0039563F" w:rsidRPr="00A14BBF">
              <w:t>dpady jsou využívány jako náhrada primárních zdrojů.</w:t>
            </w:r>
            <w:r w:rsidR="001D61F9" w:rsidRPr="00A14BBF">
              <w:t xml:space="preserve"> </w:t>
            </w:r>
            <w:r w:rsidR="00983C74" w:rsidRPr="00A14BBF">
              <w:rPr>
                <w:szCs w:val="24"/>
              </w:rPr>
              <w:t>Problém</w:t>
            </w:r>
            <w:r w:rsidR="00FF782E" w:rsidRPr="00A14BBF">
              <w:rPr>
                <w:szCs w:val="24"/>
              </w:rPr>
              <w:t>em</w:t>
            </w:r>
            <w:r w:rsidR="00983C74" w:rsidRPr="00A14BBF">
              <w:rPr>
                <w:szCs w:val="24"/>
              </w:rPr>
              <w:t xml:space="preserve"> zůstává stále vysoká </w:t>
            </w:r>
            <w:r w:rsidR="00401D79" w:rsidRPr="00A14BBF">
              <w:rPr>
                <w:szCs w:val="24"/>
              </w:rPr>
              <w:t>míra</w:t>
            </w:r>
            <w:r w:rsidR="00983C74" w:rsidRPr="00A14BBF">
              <w:rPr>
                <w:szCs w:val="24"/>
              </w:rPr>
              <w:t xml:space="preserve"> skládkování komunálních odpadů.</w:t>
            </w:r>
            <w:r w:rsidR="00503A6E" w:rsidRPr="00A14BBF">
              <w:rPr>
                <w:szCs w:val="24"/>
              </w:rPr>
              <w:t xml:space="preserve"> </w:t>
            </w:r>
            <w:r w:rsidR="001D61F9" w:rsidRPr="00A14BBF">
              <w:rPr>
                <w:szCs w:val="24"/>
              </w:rPr>
              <w:t xml:space="preserve">Připravená </w:t>
            </w:r>
            <w:r w:rsidR="001D61F9" w:rsidRPr="00A14BBF">
              <w:t xml:space="preserve">nová legislativa by měla </w:t>
            </w:r>
            <w:r w:rsidR="00740BE7" w:rsidRPr="00A14BBF">
              <w:t xml:space="preserve">více </w:t>
            </w:r>
            <w:r w:rsidR="00503A6E" w:rsidRPr="00A14BBF">
              <w:t>pos</w:t>
            </w:r>
            <w:r w:rsidR="001D61F9" w:rsidRPr="00A14BBF">
              <w:t xml:space="preserve">unout </w:t>
            </w:r>
            <w:r w:rsidR="00503A6E" w:rsidRPr="00A14BBF">
              <w:t>odpadové hospodářství ČR k vyšší stupňům hierarchie nakládání s odpady.</w:t>
            </w:r>
          </w:p>
        </w:tc>
      </w:tr>
    </w:tbl>
    <w:p w:rsidR="00E651E4" w:rsidRPr="00A14BBF" w:rsidRDefault="00E651E4" w:rsidP="001C1AF2">
      <w:pPr>
        <w:spacing w:line="276" w:lineRule="auto"/>
        <w:rPr>
          <w:b/>
          <w:sz w:val="26"/>
          <w:szCs w:val="26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567"/>
        <w:gridCol w:w="851"/>
        <w:gridCol w:w="5528"/>
      </w:tblGrid>
      <w:tr w:rsidR="007E5173" w:rsidTr="00721D51"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F69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lastRenderedPageBreak/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F69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1F69" w:rsidRPr="00A14BBF" w:rsidRDefault="008C12E6" w:rsidP="001C1AF2">
            <w:pPr>
              <w:spacing w:line="276" w:lineRule="auto"/>
              <w:jc w:val="center"/>
            </w:pPr>
            <w:r w:rsidRPr="00A14BBF">
              <w:t>3.3.1.1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F69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Do roku 2015</w:t>
            </w:r>
            <w:r w:rsidRPr="00A14BBF">
              <w:rPr>
                <w:b/>
              </w:rPr>
              <w:t xml:space="preserve"> zavést tříděný sběr minimálně pro odpady z papíru, plastů, skla a kovů.</w:t>
            </w:r>
          </w:p>
        </w:tc>
      </w:tr>
      <w:tr w:rsidR="007E5173" w:rsidTr="00A05915"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F69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F69" w:rsidRPr="00A14BBF" w:rsidRDefault="008C12E6" w:rsidP="00D0643B">
            <w:pPr>
              <w:spacing w:line="276" w:lineRule="auto"/>
            </w:pPr>
            <w:r w:rsidRPr="00A14BBF">
              <w:rPr>
                <w:b/>
              </w:rPr>
              <w:t>Cíl plněn.</w:t>
            </w:r>
          </w:p>
          <w:p w:rsidR="00682023" w:rsidRPr="00A14BBF" w:rsidRDefault="008C12E6" w:rsidP="00D0643B">
            <w:pPr>
              <w:spacing w:line="276" w:lineRule="auto"/>
              <w:rPr>
                <w:b/>
              </w:rPr>
            </w:pPr>
            <w:r w:rsidRPr="00A14BBF">
              <w:t>V roce 2015 byl v obcích zaveden povinný sběr papíru, plastů, skla a</w:t>
            </w:r>
            <w:r w:rsidR="001474C9" w:rsidRPr="00A14BBF">
              <w:t> </w:t>
            </w:r>
            <w:r w:rsidRPr="00A14BBF">
              <w:t xml:space="preserve">kovů. </w:t>
            </w:r>
            <w:r w:rsidR="00F17096" w:rsidRPr="00A14BBF">
              <w:t xml:space="preserve">Sběr těchto komodit je v současnosti funkční. </w:t>
            </w:r>
          </w:p>
        </w:tc>
      </w:tr>
    </w:tbl>
    <w:p w:rsidR="00F37BDE" w:rsidRPr="00A14BBF" w:rsidRDefault="00F37BDE" w:rsidP="001C1AF2">
      <w:pPr>
        <w:spacing w:line="276" w:lineRule="auto"/>
        <w:rPr>
          <w:b/>
          <w:sz w:val="26"/>
          <w:szCs w:val="26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567"/>
        <w:gridCol w:w="851"/>
        <w:gridCol w:w="5528"/>
      </w:tblGrid>
      <w:tr w:rsidR="007E5173" w:rsidTr="00DD3C89">
        <w:trPr>
          <w:trHeight w:val="1363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530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530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6.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80530" w:rsidRPr="00A14BBF" w:rsidRDefault="008C12E6" w:rsidP="001C1AF2">
            <w:pPr>
              <w:spacing w:line="276" w:lineRule="auto"/>
              <w:jc w:val="center"/>
            </w:pPr>
            <w:r w:rsidRPr="00A14BBF">
              <w:t>3.3.1.1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530" w:rsidRPr="00A14BBF" w:rsidRDefault="008C12E6" w:rsidP="00377F93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Do </w:t>
            </w:r>
            <w:r w:rsidRPr="00A14BBF">
              <w:rPr>
                <w:b/>
              </w:rPr>
              <w:t>roku 2020 zvýšit nejméně na 50 % hmotnosti celkovou úroveň přípravy k opětovnému použití a recyklaci alespoň u odpadů z materiálů jako je papír, plast, kov, sklo, pocházejících z domácností, a případně odpady jiného původu, pokud jsou tyto toky odpadů podo</w:t>
            </w:r>
            <w:r w:rsidRPr="00A14BBF">
              <w:rPr>
                <w:b/>
              </w:rPr>
              <w:t>bné odpadům z domácností.</w:t>
            </w:r>
          </w:p>
          <w:p w:rsidR="00880530" w:rsidRPr="00A14BBF" w:rsidRDefault="008C12E6" w:rsidP="00377F93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Postupné hodnoty v určených letech: </w:t>
            </w:r>
          </w:p>
          <w:p w:rsidR="00880530" w:rsidRPr="00A14BBF" w:rsidRDefault="008C12E6" w:rsidP="00377F93">
            <w:pPr>
              <w:spacing w:line="276" w:lineRule="auto"/>
            </w:pPr>
            <w:r w:rsidRPr="00A14BBF">
              <w:rPr>
                <w:b/>
              </w:rPr>
              <w:t>(</w:t>
            </w:r>
            <w:proofErr w:type="gramStart"/>
            <w:r w:rsidRPr="00A14BBF">
              <w:rPr>
                <w:b/>
              </w:rPr>
              <w:t>2016 - 46</w:t>
            </w:r>
            <w:proofErr w:type="gramEnd"/>
            <w:r w:rsidRPr="00A14BBF">
              <w:rPr>
                <w:b/>
              </w:rPr>
              <w:t xml:space="preserve"> %, 2018 - 48 %, 2020 - 50 %)</w:t>
            </w:r>
          </w:p>
        </w:tc>
      </w:tr>
      <w:tr w:rsidR="007E5173" w:rsidTr="00C9549F">
        <w:trPr>
          <w:trHeight w:val="479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80530" w:rsidRPr="00A14BBF" w:rsidRDefault="008C12E6" w:rsidP="001C1AF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F93" w:rsidRPr="00671882" w:rsidRDefault="008C12E6" w:rsidP="00377F93">
            <w:pPr>
              <w:spacing w:line="276" w:lineRule="auto"/>
              <w:rPr>
                <w:b/>
              </w:rPr>
            </w:pPr>
            <w:r w:rsidRPr="00671882">
              <w:rPr>
                <w:b/>
              </w:rPr>
              <w:t>Cíl plněn</w:t>
            </w:r>
            <w:r w:rsidR="002C15AF" w:rsidRPr="00671882">
              <w:rPr>
                <w:b/>
              </w:rPr>
              <w:t xml:space="preserve"> částečně</w:t>
            </w:r>
            <w:r w:rsidRPr="00671882">
              <w:rPr>
                <w:b/>
              </w:rPr>
              <w:t>.</w:t>
            </w:r>
          </w:p>
          <w:p w:rsidR="009205FB" w:rsidRPr="00671882" w:rsidRDefault="008C12E6" w:rsidP="00F079F0">
            <w:pPr>
              <w:spacing w:line="276" w:lineRule="auto"/>
              <w:rPr>
                <w:color w:val="FF0000"/>
              </w:rPr>
            </w:pPr>
            <w:r w:rsidRPr="00671882">
              <w:t>V roce 201</w:t>
            </w:r>
            <w:r w:rsidR="00E74D8A" w:rsidRPr="00671882">
              <w:t xml:space="preserve">9 </w:t>
            </w:r>
            <w:r w:rsidRPr="00671882">
              <w:t xml:space="preserve">byl splněn cíl v oblasti komunálních odpadů na zvýšení celkové úrovně přípravy k opětovnému </w:t>
            </w:r>
            <w:r w:rsidRPr="00671882">
              <w:t>použití a recyklaci u</w:t>
            </w:r>
            <w:r w:rsidR="00F079F0" w:rsidRPr="00671882">
              <w:t> </w:t>
            </w:r>
            <w:r w:rsidRPr="00671882">
              <w:t>odpadů z</w:t>
            </w:r>
            <w:r w:rsidR="00AD7C96" w:rsidRPr="00671882">
              <w:t> </w:t>
            </w:r>
            <w:r w:rsidRPr="00671882">
              <w:t>materiálů jako je papír, plast, kov, sklo. Míra recyklace odpadu papíru, skla, plastů, kovů pocházejících z domácností a podobného odpadu pro stanovený rok 201</w:t>
            </w:r>
            <w:r w:rsidR="000E78EF" w:rsidRPr="00671882">
              <w:t>9</w:t>
            </w:r>
            <w:r w:rsidRPr="00671882">
              <w:t xml:space="preserve"> dosáhla hodnoty 52,1 %</w:t>
            </w:r>
            <w:r w:rsidR="002C15AF" w:rsidRPr="00671882">
              <w:t xml:space="preserve"> (</w:t>
            </w:r>
            <w:r w:rsidR="00C76077" w:rsidRPr="00671882">
              <w:t xml:space="preserve">dosavadní </w:t>
            </w:r>
            <w:r w:rsidR="002C15AF" w:rsidRPr="00671882">
              <w:t>metoda 2)</w:t>
            </w:r>
            <w:r w:rsidR="000E78EF" w:rsidRPr="00671882">
              <w:t>. V době přípravy zprávy je konzultován nový metodický přístup k výpočtu plnění cíle v roce 2020 a data zatím nejsou k dispozici.</w:t>
            </w:r>
          </w:p>
        </w:tc>
      </w:tr>
    </w:tbl>
    <w:p w:rsidR="00AC05A9" w:rsidRDefault="00AC05A9" w:rsidP="00F977A4">
      <w:pPr>
        <w:spacing w:line="276" w:lineRule="auto"/>
        <w:rPr>
          <w:b/>
          <w:sz w:val="26"/>
          <w:szCs w:val="26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553"/>
        <w:gridCol w:w="832"/>
        <w:gridCol w:w="5528"/>
      </w:tblGrid>
      <w:tr w:rsidR="007E5173" w:rsidTr="00A05915">
        <w:trPr>
          <w:trHeight w:val="959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15787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15787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7.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815787" w:rsidRPr="00A14BBF" w:rsidRDefault="008C12E6" w:rsidP="001C1AF2">
            <w:pPr>
              <w:spacing w:line="276" w:lineRule="auto"/>
              <w:jc w:val="center"/>
            </w:pPr>
            <w:r w:rsidRPr="00A14BBF">
              <w:t>3.3.1.1.1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15787" w:rsidRPr="00A14BBF" w:rsidRDefault="008C12E6" w:rsidP="001C1AF2">
            <w:pPr>
              <w:spacing w:line="276" w:lineRule="auto"/>
            </w:pPr>
            <w:r w:rsidRPr="00A14BBF">
              <w:rPr>
                <w:b/>
                <w:bCs/>
              </w:rPr>
              <w:t>Směsný komunální odpad (</w:t>
            </w:r>
            <w:r w:rsidRPr="00A14BBF">
              <w:rPr>
                <w:b/>
              </w:rPr>
              <w:t>po vytřídění materiálově využitelných složek, nebezpečných složek a biologicky rozložitelných odpadů)</w:t>
            </w:r>
            <w:r w:rsidRPr="00A14BBF">
              <w:rPr>
                <w:b/>
                <w:bCs/>
              </w:rPr>
              <w:t xml:space="preserve"> zejména energeticky využívat v zařízeních k tomu určených v souladu s platnou legislativou</w:t>
            </w:r>
            <w:r w:rsidRPr="00A14BBF">
              <w:t xml:space="preserve">. </w:t>
            </w:r>
          </w:p>
        </w:tc>
      </w:tr>
      <w:tr w:rsidR="007E5173" w:rsidTr="00A05915">
        <w:trPr>
          <w:trHeight w:val="468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15787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6913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15787" w:rsidRPr="00A14BBF" w:rsidRDefault="008C12E6" w:rsidP="001C1AF2">
            <w:pPr>
              <w:spacing w:line="276" w:lineRule="auto"/>
              <w:jc w:val="left"/>
              <w:rPr>
                <w:b/>
              </w:rPr>
            </w:pPr>
            <w:r w:rsidRPr="00A14BBF">
              <w:rPr>
                <w:b/>
              </w:rPr>
              <w:t>Cíl plněn</w:t>
            </w:r>
            <w:r w:rsidR="00D429CC" w:rsidRPr="00A14BBF">
              <w:rPr>
                <w:b/>
              </w:rPr>
              <w:t xml:space="preserve"> částečně</w:t>
            </w:r>
            <w:r w:rsidRPr="00A14BBF">
              <w:rPr>
                <w:b/>
              </w:rPr>
              <w:t>.</w:t>
            </w:r>
          </w:p>
          <w:p w:rsidR="00EA5090" w:rsidRPr="00A14BBF" w:rsidRDefault="008C12E6" w:rsidP="00EA5090">
            <w:pPr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Produkce </w:t>
            </w:r>
            <w:r w:rsidRPr="00A14BBF">
              <w:rPr>
                <w:rFonts w:ascii="Calibri" w:hAnsi="Calibri" w:cs="Calibri"/>
                <w:b/>
                <w:color w:val="000000"/>
                <w:szCs w:val="24"/>
              </w:rPr>
              <w:t>směsného komunálního odpadu</w:t>
            </w: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 v roce 2020 spíše stagnovala, meziročně jen mírně poklesla o 0,3 % tj. o 7 tis. t na celkových 2 780,3 tis. t. Mírný pokles produkce je možno vyhodnotit jako pozitivní skutečnost, že střednědobě dochází k mírnému snižování </w:t>
            </w:r>
            <w:r w:rsidRPr="00A14BBF">
              <w:rPr>
                <w:rFonts w:ascii="Calibri" w:hAnsi="Calibri" w:cs="Calibri"/>
                <w:bCs/>
                <w:color w:val="000000"/>
                <w:szCs w:val="24"/>
              </w:rPr>
              <w:t>produkce směsného komunálního od</w:t>
            </w:r>
            <w:r w:rsidRPr="00A14BBF">
              <w:rPr>
                <w:rFonts w:ascii="Calibri" w:hAnsi="Calibri" w:cs="Calibri"/>
                <w:bCs/>
                <w:color w:val="000000"/>
                <w:szCs w:val="24"/>
              </w:rPr>
              <w:t>padu</w:t>
            </w: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. </w:t>
            </w:r>
          </w:p>
          <w:p w:rsidR="00EA5090" w:rsidRPr="00A14BBF" w:rsidRDefault="008C12E6" w:rsidP="00EA5090">
            <w:pPr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Podíl směsného komunálního odpadu na celkové produkci komunálních odpadů se meziročně držel na téměř stejné hodnotě, v roce 2020 to bylo 47,8 %. Nepotvrdil se trend stálého poklesu tohoto ukazatele v posledních letech.  Meziročně se produkce </w:t>
            </w:r>
            <w:r w:rsidRPr="00A14BBF">
              <w:rPr>
                <w:rFonts w:ascii="Calibri" w:hAnsi="Calibri" w:cs="Calibri"/>
                <w:color w:val="000000"/>
                <w:szCs w:val="24"/>
              </w:rPr>
              <w:lastRenderedPageBreak/>
              <w:t>směsnéh</w:t>
            </w:r>
            <w:r w:rsidRPr="00A14BBF">
              <w:rPr>
                <w:rFonts w:ascii="Calibri" w:hAnsi="Calibri" w:cs="Calibri"/>
                <w:color w:val="000000"/>
                <w:szCs w:val="24"/>
              </w:rPr>
              <w:t>o komunálního odpadu v přepočtu na obyvatele mírně snížila o 1,5 kg.obyv.</w:t>
            </w:r>
            <w:r w:rsidRPr="00A14BBF">
              <w:rPr>
                <w:rFonts w:ascii="Calibri" w:hAnsi="Calibri" w:cs="Calibri"/>
                <w:color w:val="000000"/>
                <w:szCs w:val="24"/>
                <w:vertAlign w:val="superscript"/>
              </w:rPr>
              <w:t>-1</w:t>
            </w: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 na hodnotu 259,8 kg.obyv.</w:t>
            </w:r>
            <w:r w:rsidRPr="00A14BBF">
              <w:rPr>
                <w:rFonts w:ascii="Calibri" w:hAnsi="Calibri" w:cs="Calibri"/>
                <w:color w:val="000000"/>
                <w:szCs w:val="24"/>
                <w:vertAlign w:val="superscript"/>
              </w:rPr>
              <w:t>-1</w:t>
            </w: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 v roce 2020. </w:t>
            </w:r>
          </w:p>
          <w:p w:rsidR="00F079F0" w:rsidRPr="00A14BBF" w:rsidRDefault="008C12E6" w:rsidP="00F079F0">
            <w:pPr>
              <w:spacing w:line="276" w:lineRule="auto"/>
            </w:pP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Převážná část směsného komunálního odpadu je odstraňována skládkováním, které ještě meziročně </w:t>
            </w:r>
            <w:r w:rsidR="006E60B0" w:rsidRPr="00A14BBF">
              <w:rPr>
                <w:rFonts w:ascii="Calibri" w:hAnsi="Calibri" w:cs="Calibri"/>
                <w:color w:val="000000"/>
                <w:szCs w:val="24"/>
              </w:rPr>
              <w:t xml:space="preserve">mírně vzrostlo o 1 % na 77 % v roce 2020, z 76 % v 2019. </w:t>
            </w:r>
            <w:r w:rsidRPr="00A14BBF">
              <w:rPr>
                <w:rFonts w:ascii="Calibri" w:hAnsi="Calibri" w:cs="Calibri"/>
                <w:color w:val="000000"/>
                <w:szCs w:val="24"/>
              </w:rPr>
              <w:t xml:space="preserve">Energetické využití směsného komunálního odpadu </w:t>
            </w:r>
            <w:r w:rsidR="006E60B0" w:rsidRPr="00A14BBF">
              <w:rPr>
                <w:rFonts w:ascii="Calibri" w:hAnsi="Calibri" w:cs="Calibri"/>
                <w:color w:val="000000"/>
                <w:szCs w:val="24"/>
              </w:rPr>
              <w:t xml:space="preserve">také mírně vzrostlo o </w:t>
            </w:r>
            <w:r w:rsidR="00AC2576" w:rsidRPr="00A14BBF">
              <w:rPr>
                <w:rFonts w:ascii="Calibri" w:hAnsi="Calibri" w:cs="Calibri"/>
                <w:color w:val="000000"/>
                <w:szCs w:val="24"/>
              </w:rPr>
              <w:t xml:space="preserve">0,9 </w:t>
            </w:r>
            <w:r w:rsidR="006E60B0" w:rsidRPr="00A14BBF">
              <w:rPr>
                <w:rFonts w:ascii="Calibri" w:hAnsi="Calibri" w:cs="Calibri"/>
                <w:color w:val="000000"/>
                <w:szCs w:val="24"/>
              </w:rPr>
              <w:t xml:space="preserve">% na 22,3 % v roce 2020, z 21,4 % v roce 2019.  </w:t>
            </w:r>
            <w:r w:rsidR="00641679" w:rsidRPr="00A14BBF">
              <w:rPr>
                <w:rFonts w:ascii="Calibri" w:hAnsi="Calibri" w:cs="Calibri"/>
                <w:color w:val="000000"/>
                <w:szCs w:val="24"/>
              </w:rPr>
              <w:t>Nedaří se navyšova</w:t>
            </w:r>
            <w:r w:rsidR="00E63784">
              <w:rPr>
                <w:rFonts w:ascii="Calibri" w:hAnsi="Calibri" w:cs="Calibri"/>
                <w:color w:val="000000"/>
                <w:szCs w:val="24"/>
              </w:rPr>
              <w:t>t</w:t>
            </w:r>
            <w:r w:rsidR="00641679" w:rsidRPr="00A14BBF">
              <w:rPr>
                <w:rFonts w:ascii="Calibri" w:hAnsi="Calibri" w:cs="Calibri"/>
                <w:color w:val="000000"/>
                <w:szCs w:val="24"/>
              </w:rPr>
              <w:t xml:space="preserve"> podíl energetického využití směsného komunálního odpadu. </w:t>
            </w:r>
          </w:p>
        </w:tc>
      </w:tr>
    </w:tbl>
    <w:p w:rsidR="00AC05A9" w:rsidRPr="00A14BBF" w:rsidRDefault="00AC05A9" w:rsidP="00AC05A9">
      <w:pPr>
        <w:spacing w:line="276" w:lineRule="auto"/>
        <w:rPr>
          <w:b/>
          <w:sz w:val="26"/>
          <w:szCs w:val="26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721D51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3CA2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3CA2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8.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63CA2" w:rsidRPr="00A14BBF" w:rsidRDefault="008C12E6" w:rsidP="001C1AF2">
            <w:pPr>
              <w:spacing w:line="276" w:lineRule="auto"/>
              <w:jc w:val="center"/>
            </w:pPr>
            <w:r w:rsidRPr="00A14BBF">
              <w:t>3.3.1.3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C63CA2" w:rsidRPr="00327701" w:rsidRDefault="008C12E6" w:rsidP="00E42756">
            <w:pPr>
              <w:spacing w:line="276" w:lineRule="auto"/>
              <w:rPr>
                <w:b/>
              </w:rPr>
            </w:pPr>
            <w:r w:rsidRPr="00A14BBF">
              <w:rPr>
                <w:rFonts w:cstheme="minorHAnsi"/>
                <w:b/>
              </w:rPr>
              <w:t xml:space="preserve">Snížit maximální množství </w:t>
            </w:r>
            <w:r w:rsidRPr="00A14BBF">
              <w:rPr>
                <w:rFonts w:cstheme="minorHAnsi"/>
                <w:b/>
              </w:rPr>
              <w:t>biologicky rozložitelných komunálních odpadů ukládaných na skládky tak, aby podíl této složky činil v roce 2020 nejvíce 35 % hmotnostních z celkového množství biologicky rozložitelných komunálních odpadů vyprodukovaných v roce 1995.</w:t>
            </w:r>
            <w:r w:rsidRPr="00327701">
              <w:rPr>
                <w:rFonts w:cstheme="minorHAnsi"/>
                <w:b/>
              </w:rPr>
              <w:t xml:space="preserve">  </w:t>
            </w:r>
          </w:p>
        </w:tc>
      </w:tr>
      <w:tr w:rsidR="007E5173" w:rsidTr="00721D51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00A7A" w:rsidRDefault="008C12E6" w:rsidP="001C1AF2">
            <w:pPr>
              <w:spacing w:line="276" w:lineRule="auto"/>
              <w:jc w:val="center"/>
            </w:pPr>
            <w:r w:rsidRPr="006C267E">
              <w:rPr>
                <w:b/>
              </w:rPr>
              <w:t xml:space="preserve">Hodnocení stavu </w:t>
            </w:r>
            <w:r w:rsidRPr="006C267E">
              <w:rPr>
                <w:b/>
              </w:rPr>
              <w:t>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13E23" w:rsidRPr="00671882" w:rsidRDefault="008C12E6" w:rsidP="00513E23">
            <w:pPr>
              <w:spacing w:line="276" w:lineRule="auto"/>
              <w:rPr>
                <w:rFonts w:cstheme="minorHAnsi"/>
              </w:rPr>
            </w:pPr>
            <w:r w:rsidRPr="00671882">
              <w:rPr>
                <w:rFonts w:ascii="Calibri" w:hAnsi="Calibri"/>
                <w:b/>
                <w:szCs w:val="24"/>
              </w:rPr>
              <w:t>Cíl plněn</w:t>
            </w:r>
            <w:r w:rsidR="00251781" w:rsidRPr="00671882">
              <w:rPr>
                <w:rFonts w:ascii="Calibri" w:hAnsi="Calibri"/>
                <w:b/>
                <w:szCs w:val="24"/>
              </w:rPr>
              <w:t xml:space="preserve"> částečně</w:t>
            </w:r>
            <w:r w:rsidRPr="00671882">
              <w:rPr>
                <w:rFonts w:cstheme="minorHAnsi"/>
              </w:rPr>
              <w:t>.</w:t>
            </w:r>
          </w:p>
          <w:p w:rsidR="004D10AD" w:rsidRPr="00671882" w:rsidRDefault="008C12E6" w:rsidP="008A6525">
            <w:pPr>
              <w:spacing w:line="276" w:lineRule="auto"/>
              <w:rPr>
                <w:bCs/>
              </w:rPr>
            </w:pPr>
            <w:r w:rsidRPr="00671882">
              <w:rPr>
                <w:bCs/>
              </w:rPr>
              <w:t>V roce 201</w:t>
            </w:r>
            <w:r w:rsidR="007B1F4B" w:rsidRPr="00671882">
              <w:rPr>
                <w:bCs/>
              </w:rPr>
              <w:t>9</w:t>
            </w:r>
            <w:r w:rsidRPr="00671882">
              <w:rPr>
                <w:bCs/>
              </w:rPr>
              <w:t xml:space="preserve"> podíl BRKO </w:t>
            </w:r>
            <w:r w:rsidRPr="00671882">
              <w:rPr>
                <w:bCs/>
                <w:shd w:val="clear" w:color="auto" w:fill="DBE5F1" w:themeFill="accent1" w:themeFillTint="33"/>
              </w:rPr>
              <w:t>uložených na skládky vzhledem ke</w:t>
            </w:r>
            <w:r w:rsidR="00EC3468" w:rsidRPr="00671882">
              <w:rPr>
                <w:bCs/>
                <w:shd w:val="clear" w:color="auto" w:fill="DBE5F1" w:themeFill="accent1" w:themeFillTint="33"/>
              </w:rPr>
              <w:t> </w:t>
            </w:r>
            <w:r w:rsidRPr="00671882">
              <w:rPr>
                <w:bCs/>
                <w:shd w:val="clear" w:color="auto" w:fill="DBE5F1" w:themeFill="accent1" w:themeFillTint="33"/>
              </w:rPr>
              <w:t xml:space="preserve">srovnávací základně z roku 1995 </w:t>
            </w:r>
            <w:r w:rsidR="001474C9" w:rsidRPr="00671882">
              <w:rPr>
                <w:bCs/>
                <w:shd w:val="clear" w:color="auto" w:fill="DBE5F1" w:themeFill="accent1" w:themeFillTint="33"/>
              </w:rPr>
              <w:t xml:space="preserve">byl </w:t>
            </w:r>
            <w:r w:rsidR="008A6525" w:rsidRPr="00671882">
              <w:rPr>
                <w:bCs/>
                <w:shd w:val="clear" w:color="auto" w:fill="DBE5F1" w:themeFill="accent1" w:themeFillTint="33"/>
              </w:rPr>
              <w:t>4</w:t>
            </w:r>
            <w:r w:rsidR="007B1F4B" w:rsidRPr="00671882">
              <w:rPr>
                <w:bCs/>
                <w:shd w:val="clear" w:color="auto" w:fill="DBE5F1" w:themeFill="accent1" w:themeFillTint="33"/>
              </w:rPr>
              <w:t>2</w:t>
            </w:r>
            <w:r w:rsidRPr="00671882">
              <w:rPr>
                <w:bCs/>
                <w:shd w:val="clear" w:color="auto" w:fill="DBE5F1" w:themeFill="accent1" w:themeFillTint="33"/>
              </w:rPr>
              <w:t xml:space="preserve"> %</w:t>
            </w:r>
            <w:r w:rsidR="007B1F4B" w:rsidRPr="00671882">
              <w:rPr>
                <w:bCs/>
                <w:shd w:val="clear" w:color="auto" w:fill="DBE5F1" w:themeFill="accent1" w:themeFillTint="33"/>
              </w:rPr>
              <w:t xml:space="preserve">, tj. </w:t>
            </w:r>
            <w:r w:rsidR="007B1F4B" w:rsidRPr="00671882">
              <w:rPr>
                <w:bCs/>
              </w:rPr>
              <w:t>642 822 t</w:t>
            </w:r>
            <w:r w:rsidR="007B1F4B" w:rsidRPr="00671882">
              <w:rPr>
                <w:bCs/>
                <w:shd w:val="clear" w:color="auto" w:fill="DBE5F1" w:themeFill="accent1" w:themeFillTint="33"/>
              </w:rPr>
              <w:t xml:space="preserve">. </w:t>
            </w:r>
            <w:r w:rsidRPr="00671882">
              <w:rPr>
                <w:bCs/>
                <w:shd w:val="clear" w:color="auto" w:fill="DBE5F1" w:themeFill="accent1" w:themeFillTint="33"/>
              </w:rPr>
              <w:t>Meziročně došlo k</w:t>
            </w:r>
            <w:r w:rsidR="00E10EF6" w:rsidRPr="00671882">
              <w:rPr>
                <w:bCs/>
                <w:shd w:val="clear" w:color="auto" w:fill="DBE5F1" w:themeFill="accent1" w:themeFillTint="33"/>
              </w:rPr>
              <w:t xml:space="preserve"> mírnému </w:t>
            </w:r>
            <w:r w:rsidRPr="00671882">
              <w:rPr>
                <w:bCs/>
                <w:shd w:val="clear" w:color="auto" w:fill="DBE5F1" w:themeFill="accent1" w:themeFillTint="33"/>
              </w:rPr>
              <w:t xml:space="preserve">poklesu skládkování BRKO. </w:t>
            </w:r>
            <w:r w:rsidR="000E7B79" w:rsidRPr="00671882">
              <w:rPr>
                <w:bCs/>
                <w:shd w:val="clear" w:color="auto" w:fill="DBE5F1" w:themeFill="accent1" w:themeFillTint="33"/>
              </w:rPr>
              <w:t>Přesto jsou BRKO s</w:t>
            </w:r>
            <w:r w:rsidR="00251781" w:rsidRPr="00671882">
              <w:rPr>
                <w:shd w:val="clear" w:color="auto" w:fill="DBE5F1" w:themeFill="accent1" w:themeFillTint="33"/>
              </w:rPr>
              <w:t>tále ve velké</w:t>
            </w:r>
            <w:r w:rsidR="00251781" w:rsidRPr="00671882">
              <w:t xml:space="preserve"> míře skládkovány</w:t>
            </w:r>
            <w:r w:rsidR="000E7B79" w:rsidRPr="00671882">
              <w:t xml:space="preserve">, </w:t>
            </w:r>
            <w:r w:rsidR="00251781" w:rsidRPr="00671882">
              <w:t xml:space="preserve">zejména směsný komunální odpad. </w:t>
            </w:r>
            <w:r w:rsidR="00BE5AA4" w:rsidRPr="00671882">
              <w:t xml:space="preserve">V obcích je stanovena povinnost sběru </w:t>
            </w:r>
            <w:r w:rsidR="00BE5AA4" w:rsidRPr="00671882">
              <w:rPr>
                <w:bCs/>
              </w:rPr>
              <w:t xml:space="preserve">BRKO rostlinného původu. </w:t>
            </w:r>
            <w:r w:rsidRPr="00671882">
              <w:rPr>
                <w:bCs/>
              </w:rPr>
              <w:t>Přijatá opatření a podpora z</w:t>
            </w:r>
            <w:r w:rsidR="0014713C" w:rsidRPr="00671882">
              <w:rPr>
                <w:bCs/>
              </w:rPr>
              <w:t> </w:t>
            </w:r>
            <w:r w:rsidRPr="00671882">
              <w:rPr>
                <w:bCs/>
              </w:rPr>
              <w:t xml:space="preserve">OPŽP </w:t>
            </w:r>
            <w:r w:rsidR="00E62800" w:rsidRPr="00671882">
              <w:rPr>
                <w:bCs/>
              </w:rPr>
              <w:t>2014–2020</w:t>
            </w:r>
            <w:r w:rsidRPr="00671882">
              <w:rPr>
                <w:bCs/>
              </w:rPr>
              <w:t xml:space="preserve"> zvyšují šance na dosažení cíle POH v roce 2020. </w:t>
            </w:r>
          </w:p>
          <w:p w:rsidR="007B1F4B" w:rsidRPr="00671882" w:rsidRDefault="008C12E6" w:rsidP="005B08F1">
            <w:pPr>
              <w:spacing w:line="276" w:lineRule="auto"/>
              <w:rPr>
                <w:rFonts w:cstheme="minorHAnsi"/>
              </w:rPr>
            </w:pPr>
            <w:r w:rsidRPr="00671882">
              <w:rPr>
                <w:bCs/>
              </w:rPr>
              <w:t xml:space="preserve">Jelikož je analyzována a vyhodnocována výše základny z roku 1995, v době přípravy zprávy tedy hodnota plnění cíle </w:t>
            </w:r>
            <w:r w:rsidR="00A15886" w:rsidRPr="00671882">
              <w:rPr>
                <w:bCs/>
              </w:rPr>
              <w:t xml:space="preserve">v roce 2020 </w:t>
            </w:r>
            <w:r w:rsidRPr="00671882">
              <w:rPr>
                <w:bCs/>
              </w:rPr>
              <w:t>není k dispozici. Pozitivní ale je, že meziročně došlo k poklesu množství skládkovaných BRKO o 26,5 tis. tun na 616 227 tun v roce</w:t>
            </w:r>
            <w:r w:rsidRPr="00671882">
              <w:rPr>
                <w:bCs/>
              </w:rPr>
              <w:t xml:space="preserve"> 2020.</w:t>
            </w:r>
          </w:p>
        </w:tc>
      </w:tr>
    </w:tbl>
    <w:p w:rsidR="00C83BA2" w:rsidRDefault="00C83BA2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721D5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DD5539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539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539" w:rsidRPr="00A14BBF" w:rsidRDefault="008C12E6" w:rsidP="001C1AF2">
            <w:pPr>
              <w:spacing w:line="276" w:lineRule="auto"/>
              <w:jc w:val="center"/>
            </w:pPr>
            <w:r w:rsidRPr="00A14BBF">
              <w:t>3.3.1.4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5539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rFonts w:cstheme="minorHAnsi"/>
                <w:b/>
              </w:rPr>
              <w:t xml:space="preserve">Zvýšit do roku 2020 nejméně na 70 % hmotnosti míru přípravy k opětovnému použití a míru recyklace stavebních a demoličních odpadů a jiných druhů jejich materiálového využití, včetně zásypů, při nichž jsou materiály nahrazeny </w:t>
            </w:r>
            <w:r w:rsidRPr="00A14BBF">
              <w:rPr>
                <w:rFonts w:cstheme="minorHAnsi"/>
                <w:b/>
              </w:rPr>
              <w:t>v souladu s platnou legislativou stavebním a demoličním odpadem kategorie ostatní s výjimkou v přírodě se vyskytujících materiálů uvedených v Katalogu odpadů pod katalogovým číslem 17 05 04 (zemina a kamení).</w:t>
            </w:r>
          </w:p>
        </w:tc>
      </w:tr>
      <w:tr w:rsidR="007E5173" w:rsidTr="00721D5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3235D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35D" w:rsidRPr="00A14BBF" w:rsidRDefault="008C12E6" w:rsidP="001C1AF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plněn.</w:t>
            </w:r>
          </w:p>
          <w:p w:rsidR="00C11AFC" w:rsidRPr="00A14BBF" w:rsidRDefault="008C12E6" w:rsidP="00C11AFC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cstheme="minorHAnsi"/>
              </w:rPr>
              <w:t>Stavební a demoliční odpady jsou v</w:t>
            </w:r>
            <w:r w:rsidR="00EC7A12" w:rsidRPr="00A14BBF">
              <w:rPr>
                <w:rFonts w:cstheme="minorHAnsi"/>
              </w:rPr>
              <w:t xml:space="preserve">e vysoké </w:t>
            </w:r>
            <w:r w:rsidRPr="00A14BBF">
              <w:rPr>
                <w:rFonts w:cstheme="minorHAnsi"/>
              </w:rPr>
              <w:t xml:space="preserve">míře využívány. </w:t>
            </w:r>
            <w:r w:rsidRPr="00A14BBF">
              <w:rPr>
                <w:bCs/>
              </w:rPr>
              <w:t xml:space="preserve">V roce 2020 bylo dosaženo 95,3 % materiálového využití ostatních stavebních </w:t>
            </w:r>
            <w:r w:rsidRPr="00A14BBF">
              <w:rPr>
                <w:bCs/>
              </w:rPr>
              <w:lastRenderedPageBreak/>
              <w:t>a demoličních odpadů a v roce 2019 to bylo 88 %.</w:t>
            </w:r>
            <w:r w:rsidRPr="00A14BBF">
              <w:rPr>
                <w:rFonts w:cstheme="minorHAnsi"/>
              </w:rPr>
              <w:t xml:space="preserve"> </w:t>
            </w:r>
            <w:r w:rsidRPr="00A14BBF">
              <w:rPr>
                <w:bCs/>
              </w:rPr>
              <w:t>L</w:t>
            </w:r>
            <w:r w:rsidRPr="00A14BBF">
              <w:rPr>
                <w:szCs w:val="24"/>
              </w:rPr>
              <w:t>egislativně a metodicky jsou nastavena pravidla pro nakládání se staveb</w:t>
            </w:r>
            <w:r w:rsidRPr="00A14BBF">
              <w:rPr>
                <w:szCs w:val="24"/>
              </w:rPr>
              <w:t>ními odpady.</w:t>
            </w:r>
          </w:p>
        </w:tc>
      </w:tr>
    </w:tbl>
    <w:p w:rsidR="009F3526" w:rsidRPr="00A14BBF" w:rsidRDefault="009F3526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D20884">
        <w:tc>
          <w:tcPr>
            <w:tcW w:w="1970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445408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445408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10.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45408" w:rsidRPr="00A14BBF" w:rsidRDefault="008C12E6" w:rsidP="001C1AF2">
            <w:pPr>
              <w:spacing w:line="276" w:lineRule="auto"/>
              <w:jc w:val="center"/>
            </w:pPr>
            <w:r w:rsidRPr="00A14BBF">
              <w:t>3.3.1.5</w:t>
            </w:r>
          </w:p>
        </w:tc>
        <w:tc>
          <w:tcPr>
            <w:tcW w:w="5528" w:type="dxa"/>
            <w:shd w:val="clear" w:color="auto" w:fill="FBD4B4" w:themeFill="accent6" w:themeFillTint="66"/>
            <w:vAlign w:val="center"/>
          </w:tcPr>
          <w:p w:rsidR="00445408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rFonts w:cstheme="minorHAnsi"/>
                <w:b/>
              </w:rPr>
              <w:t>Snižovat měrnou produkci nebezpečných odpadů.</w:t>
            </w:r>
          </w:p>
        </w:tc>
      </w:tr>
      <w:tr w:rsidR="007E5173" w:rsidTr="00D20884">
        <w:tc>
          <w:tcPr>
            <w:tcW w:w="1970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445408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AC78DC" w:rsidRPr="00A14BBF" w:rsidRDefault="008C12E6" w:rsidP="00AC78DC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není plněn.</w:t>
            </w:r>
          </w:p>
          <w:p w:rsidR="006A425E" w:rsidRPr="00A14BBF" w:rsidRDefault="008C12E6" w:rsidP="00035B1A">
            <w:pPr>
              <w:spacing w:line="276" w:lineRule="auto"/>
              <w:rPr>
                <w:rFonts w:cstheme="minorHAnsi"/>
              </w:rPr>
            </w:pPr>
            <w:r w:rsidRPr="00A14BBF">
              <w:t xml:space="preserve">Produkce nebezpečných odpadů meziročně nepatrně vzrostla o 1,3 % na 1 781,8 tis. t v roce 2020, meziročně došlo ke zvýšení o 23,3 tis. </w:t>
            </w:r>
            <w:r w:rsidR="00AC78DC" w:rsidRPr="00A14BBF">
              <w:t>Produkce nebezpečných odpadů v roce v roce 2019 byla 1 758,5 tis. t. Produkce nebezpečných odpadů na obyvatele v roce 2020 činila 166,5 kg.obyv.</w:t>
            </w:r>
            <w:r w:rsidR="00AC78DC" w:rsidRPr="00A14BBF">
              <w:rPr>
                <w:vertAlign w:val="superscript"/>
              </w:rPr>
              <w:t>-1</w:t>
            </w:r>
            <w:r w:rsidR="00AC78DC" w:rsidRPr="00A14BBF">
              <w:t>, v roce 2019 byla 164,8 kg.obyv.</w:t>
            </w:r>
            <w:r w:rsidR="00AC78DC" w:rsidRPr="00A14BBF">
              <w:rPr>
                <w:vertAlign w:val="superscript"/>
              </w:rPr>
              <w:t>-1</w:t>
            </w:r>
            <w:r w:rsidR="00AC78DC" w:rsidRPr="00A14BBF">
              <w:t>. Meziročně se zvýšila o 1,7 kg.obyv.</w:t>
            </w:r>
            <w:r w:rsidR="00AC78DC" w:rsidRPr="00A14BBF">
              <w:rPr>
                <w:vertAlign w:val="superscript"/>
              </w:rPr>
              <w:t>-1</w:t>
            </w:r>
            <w:r w:rsidR="00AC78DC" w:rsidRPr="00A14BBF">
              <w:t>, což je ovšem mnohem méně než v předchozím dvouletém období</w:t>
            </w:r>
            <w:r w:rsidR="001905EA" w:rsidRPr="00A14BBF">
              <w:t xml:space="preserve">, </w:t>
            </w:r>
            <w:r w:rsidR="00AC78DC" w:rsidRPr="00A14BBF">
              <w:t>kdy nárůst byl o 24 kg.obyv.</w:t>
            </w:r>
            <w:r w:rsidR="00AC78DC" w:rsidRPr="00A14BBF">
              <w:rPr>
                <w:vertAlign w:val="superscript"/>
              </w:rPr>
              <w:t>-1</w:t>
            </w:r>
            <w:r w:rsidR="00AC78DC" w:rsidRPr="00A14BBF">
              <w:t xml:space="preserve">. </w:t>
            </w:r>
          </w:p>
        </w:tc>
      </w:tr>
    </w:tbl>
    <w:p w:rsidR="00C83BA2" w:rsidRPr="00A14BBF" w:rsidRDefault="00C83BA2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570843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60284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60284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11.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60284" w:rsidRPr="00A14BBF" w:rsidRDefault="008C12E6" w:rsidP="001C1AF2">
            <w:pPr>
              <w:spacing w:line="276" w:lineRule="auto"/>
              <w:jc w:val="center"/>
            </w:pPr>
            <w:r w:rsidRPr="00A14BBF">
              <w:t>3.3.1.5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A60284" w:rsidRPr="00A14BBF" w:rsidRDefault="008C12E6" w:rsidP="001C1AF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Zvyšovat podíl materiálově využitých </w:t>
            </w:r>
            <w:r w:rsidRPr="00A14BBF">
              <w:rPr>
                <w:rFonts w:cstheme="minorHAnsi"/>
                <w:b/>
              </w:rPr>
              <w:t>nebezpečných odpadů.</w:t>
            </w:r>
          </w:p>
        </w:tc>
      </w:tr>
      <w:tr w:rsidR="007E5173" w:rsidTr="00570843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9275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514F3" w:rsidRPr="00A14BBF" w:rsidRDefault="008C12E6" w:rsidP="00F514F3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ascii="Calibri" w:hAnsi="Calibri"/>
                <w:b/>
                <w:szCs w:val="24"/>
              </w:rPr>
              <w:t>Cíl plněn částečně</w:t>
            </w:r>
            <w:r w:rsidRPr="00A14BBF">
              <w:rPr>
                <w:rFonts w:cstheme="minorHAnsi"/>
              </w:rPr>
              <w:t>.</w:t>
            </w:r>
          </w:p>
          <w:p w:rsidR="00330AEF" w:rsidRPr="00A14BBF" w:rsidRDefault="008C12E6" w:rsidP="00330AEF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cstheme="minorHAnsi"/>
              </w:rPr>
              <w:t xml:space="preserve">I přes podporu zvyšování správného nakládání s nebezpečnými odpady např. z OPŽP a přes přijatá legislativní opatření </w:t>
            </w:r>
            <w:r w:rsidR="00F514F3" w:rsidRPr="00A14BBF">
              <w:rPr>
                <w:rFonts w:cstheme="minorHAnsi"/>
              </w:rPr>
              <w:t xml:space="preserve">je cíl plněn částečně. </w:t>
            </w:r>
            <w:r w:rsidRPr="00A14BBF">
              <w:rPr>
                <w:rFonts w:cstheme="minorHAnsi"/>
              </w:rPr>
              <w:t xml:space="preserve"> </w:t>
            </w:r>
            <w:r w:rsidR="00B12BB4" w:rsidRPr="00A14BBF">
              <w:rPr>
                <w:rFonts w:cstheme="minorHAnsi"/>
              </w:rPr>
              <w:t xml:space="preserve">Podíl </w:t>
            </w:r>
            <w:r w:rsidR="00B12BB4" w:rsidRPr="00A14BBF">
              <w:rPr>
                <w:rFonts w:cstheme="minorHAnsi"/>
                <w:b/>
              </w:rPr>
              <w:t>materiálově využitých nebezpečných odpadů</w:t>
            </w:r>
            <w:r w:rsidR="00B12BB4" w:rsidRPr="00A14BBF">
              <w:rPr>
                <w:rFonts w:cstheme="minorHAnsi"/>
              </w:rPr>
              <w:t xml:space="preserve"> meziročně </w:t>
            </w:r>
            <w:r w:rsidR="00B12BB4" w:rsidRPr="00A14BBF">
              <w:rPr>
                <w:rFonts w:cstheme="minorHAnsi"/>
                <w:b/>
              </w:rPr>
              <w:t>mírně poklesl</w:t>
            </w:r>
            <w:r w:rsidR="00B12BB4" w:rsidRPr="00A14BBF">
              <w:rPr>
                <w:rFonts w:cstheme="minorHAnsi"/>
              </w:rPr>
              <w:t xml:space="preserve"> o 4 % na 30,4 % v roce 2020</w:t>
            </w:r>
            <w:r w:rsidR="0041282F" w:rsidRPr="00A14BBF">
              <w:rPr>
                <w:rFonts w:cstheme="minorHAnsi"/>
              </w:rPr>
              <w:t xml:space="preserve">, v roce 2019 byl 34,4 %. </w:t>
            </w:r>
          </w:p>
          <w:p w:rsidR="006C5C06" w:rsidRPr="00A14BBF" w:rsidRDefault="008C12E6" w:rsidP="00627055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cstheme="minorHAnsi"/>
              </w:rPr>
              <w:t>Došlo k poklesu množství materiálově využitých nebezpečných odpadů o</w:t>
            </w:r>
            <w:r w:rsidR="00330AEF" w:rsidRPr="00A14BBF">
              <w:rPr>
                <w:rFonts w:cstheme="minorHAnsi"/>
              </w:rPr>
              <w:t> </w:t>
            </w:r>
            <w:r w:rsidRPr="00A14BBF">
              <w:rPr>
                <w:rFonts w:cstheme="minorHAnsi"/>
              </w:rPr>
              <w:t xml:space="preserve">64 tis. t. Materiálově bylo v roce 2020 využíváno už 541,3 tis. t nebezpečných odpadů, v roce 2019 to </w:t>
            </w:r>
            <w:r w:rsidRPr="00A14BBF">
              <w:rPr>
                <w:rFonts w:cstheme="minorHAnsi"/>
              </w:rPr>
              <w:t>bylo 605,3 tis. t. Přes tento meziroční pokles v posledních pěti letech množství materiálově využitých nebezpečných odpadů rostlo. Je třeba sledovat a vyhodnotit situaci v dalších letech.</w:t>
            </w:r>
            <w:r w:rsidR="00627055" w:rsidRPr="00A14BBF">
              <w:rPr>
                <w:rFonts w:cstheme="minorHAnsi"/>
              </w:rPr>
              <w:t xml:space="preserve"> </w:t>
            </w:r>
          </w:p>
        </w:tc>
      </w:tr>
    </w:tbl>
    <w:p w:rsidR="009F3526" w:rsidRPr="00A14BBF" w:rsidRDefault="009F3526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721D5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0AF0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AF0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AF0" w:rsidRPr="00A14BBF" w:rsidRDefault="008C12E6" w:rsidP="001C1AF2">
            <w:pPr>
              <w:spacing w:line="276" w:lineRule="auto"/>
              <w:jc w:val="center"/>
            </w:pPr>
            <w:r w:rsidRPr="00A14BBF">
              <w:t>3.3.1.5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C0AF0" w:rsidRPr="00A14BBF" w:rsidRDefault="008C12E6" w:rsidP="001C1AF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Minimalizovat negativní účinky při nakládání </w:t>
            </w:r>
            <w:r w:rsidRPr="00A14BBF">
              <w:rPr>
                <w:rFonts w:cstheme="minorHAnsi"/>
                <w:b/>
              </w:rPr>
              <w:t>s nebezpečnými odpady na lidské zdraví a životní prostředí.</w:t>
            </w:r>
          </w:p>
        </w:tc>
      </w:tr>
      <w:tr w:rsidR="007E5173" w:rsidTr="00721D5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0AF0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AF0" w:rsidRPr="00A14BBF" w:rsidRDefault="008C12E6" w:rsidP="001C1AF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plněn.</w:t>
            </w:r>
          </w:p>
          <w:p w:rsidR="003252D4" w:rsidRPr="00A14BBF" w:rsidRDefault="008C12E6" w:rsidP="003252D4">
            <w:pPr>
              <w:spacing w:line="276" w:lineRule="auto"/>
            </w:pPr>
            <w:r w:rsidRPr="00A14BBF">
              <w:rPr>
                <w:rFonts w:cstheme="minorHAnsi"/>
              </w:rPr>
              <w:t>Přestože m</w:t>
            </w:r>
            <w:r w:rsidR="008803DC" w:rsidRPr="00A14BBF">
              <w:rPr>
                <w:rFonts w:cstheme="minorHAnsi"/>
              </w:rPr>
              <w:t xml:space="preserve">eziročně </w:t>
            </w:r>
            <w:r w:rsidRPr="00A14BBF">
              <w:rPr>
                <w:rFonts w:cstheme="minorHAnsi"/>
              </w:rPr>
              <w:t>ne</w:t>
            </w:r>
            <w:r w:rsidR="008803DC" w:rsidRPr="00A14BBF">
              <w:rPr>
                <w:rFonts w:cstheme="minorHAnsi"/>
              </w:rPr>
              <w:t>došlo k poklesu produkce nebezpečných odpadů</w:t>
            </w:r>
            <w:r w:rsidR="00D20884" w:rsidRPr="00A14BBF">
              <w:rPr>
                <w:rFonts w:cstheme="minorHAnsi"/>
              </w:rPr>
              <w:t>,</w:t>
            </w:r>
            <w:r w:rsidR="008803DC" w:rsidRPr="00A14BBF">
              <w:rPr>
                <w:rFonts w:cstheme="minorHAnsi"/>
              </w:rPr>
              <w:t xml:space="preserve"> včetně jejich produkce vztažené na obyvatele</w:t>
            </w:r>
            <w:r w:rsidR="00D20884" w:rsidRPr="00A14BBF">
              <w:rPr>
                <w:rFonts w:cstheme="minorHAnsi"/>
              </w:rPr>
              <w:t>,</w:t>
            </w:r>
            <w:r w:rsidRPr="00A14BBF">
              <w:rPr>
                <w:rFonts w:cstheme="minorHAnsi"/>
              </w:rPr>
              <w:t xml:space="preserve"> j</w:t>
            </w:r>
            <w:r w:rsidR="000B760A" w:rsidRPr="00A14BBF">
              <w:rPr>
                <w:rFonts w:cstheme="minorHAnsi"/>
              </w:rPr>
              <w:t>e dostatečně zajištěno nakládání s nimi. N</w:t>
            </w:r>
            <w:r w:rsidR="000361FF" w:rsidRPr="00A14BBF">
              <w:rPr>
                <w:rFonts w:cstheme="minorHAnsi"/>
              </w:rPr>
              <w:t xml:space="preserve">ebezpečné odpady </w:t>
            </w:r>
            <w:r w:rsidR="000B760A" w:rsidRPr="00A14BBF">
              <w:rPr>
                <w:rFonts w:cstheme="minorHAnsi"/>
              </w:rPr>
              <w:t>jsou upravovány, využívány i</w:t>
            </w:r>
            <w:r w:rsidR="00044EED" w:rsidRPr="00A14BBF">
              <w:rPr>
                <w:rFonts w:cstheme="minorHAnsi"/>
              </w:rPr>
              <w:t> </w:t>
            </w:r>
            <w:r w:rsidR="000B760A" w:rsidRPr="00A14BBF">
              <w:rPr>
                <w:rFonts w:cstheme="minorHAnsi"/>
              </w:rPr>
              <w:t xml:space="preserve">odstraňovány. </w:t>
            </w:r>
            <w:r w:rsidR="000B760A" w:rsidRPr="00A14BBF">
              <w:rPr>
                <w:szCs w:val="24"/>
              </w:rPr>
              <w:t xml:space="preserve">Většina nebezpečných odpadů je upravována, aby byla významně snížena jejich nebezpečnost a snížil se jejich vliv na životní prostředí. </w:t>
            </w:r>
            <w:r w:rsidRPr="00A14BBF">
              <w:t>V roce 2020 bylo 51 % produkovaných nebezpečných odpadů tj. 9</w:t>
            </w:r>
            <w:r w:rsidRPr="00A14BBF">
              <w:t xml:space="preserve">05 tis. t. upravováno různými způsoby úpravy, které eliminují nebo </w:t>
            </w:r>
            <w:r w:rsidRPr="00A14BBF">
              <w:lastRenderedPageBreak/>
              <w:t xml:space="preserve">snižují jejich nebezpečné vlastnosti, což je významně přispívá minimalizaci rizik při manipulaci a nakládání s nimi a zvyšuje ochranu životního prostředí.  V roce 2019 to bylo 52 %, </w:t>
            </w:r>
            <w:r w:rsidR="005329A4" w:rsidRPr="00A14BBF">
              <w:t xml:space="preserve">tedy </w:t>
            </w:r>
            <w:r w:rsidRPr="00A14BBF">
              <w:t>91</w:t>
            </w:r>
            <w:r w:rsidRPr="00A14BBF">
              <w:t>7 tis. t</w:t>
            </w:r>
            <w:r w:rsidR="005329A4" w:rsidRPr="00A14BBF">
              <w:t xml:space="preserve"> odpadů</w:t>
            </w:r>
            <w:r w:rsidRPr="00A14BBF">
              <w:t xml:space="preserve">.  </w:t>
            </w:r>
          </w:p>
          <w:p w:rsidR="000B760A" w:rsidRPr="00A14BBF" w:rsidRDefault="008C12E6" w:rsidP="000B760A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 xml:space="preserve">Nebezpečné odpady jsou upraveny ihned při jejich vzniku u původce, nebo následně v jiných zařízeních k úpravě odpadů. Odpady zbavené nebezpečné vlastnosti jsou využity nebo odstraněny se zajištěním minimalizace nepříznivých účinků na životní prostředí. </w:t>
            </w:r>
          </w:p>
          <w:p w:rsidR="000B760A" w:rsidRPr="00A14BBF" w:rsidRDefault="008C12E6" w:rsidP="000B760A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>Ne</w:t>
            </w:r>
            <w:r w:rsidRPr="00A14BBF">
              <w:rPr>
                <w:szCs w:val="24"/>
              </w:rPr>
              <w:t xml:space="preserve">bezpečné odpady jsou odstraňovány ve spalovnách nebezpečných odpadů a na zabezpečených skládkách nebezpečných odpadů. Vliv na životní prostředí je minimalizován. </w:t>
            </w:r>
          </w:p>
          <w:p w:rsidR="000B760A" w:rsidRPr="00A14BBF" w:rsidRDefault="008C12E6" w:rsidP="000B760A">
            <w:pPr>
              <w:spacing w:line="276" w:lineRule="auto"/>
              <w:rPr>
                <w:rFonts w:cstheme="minorHAnsi"/>
              </w:rPr>
            </w:pPr>
            <w:r w:rsidRPr="00A14BBF">
              <w:rPr>
                <w:szCs w:val="24"/>
              </w:rPr>
              <w:t>Legislativně a metodicky jsou nastavena pravidla pro nakládání s nebezpečnými odpady v soulad</w:t>
            </w:r>
            <w:r w:rsidRPr="00A14BBF">
              <w:rPr>
                <w:szCs w:val="24"/>
              </w:rPr>
              <w:t xml:space="preserve">u s EU. Požadavky jsou orgány státní správy kontrolovány a vymáhány. </w:t>
            </w:r>
            <w:r w:rsidR="00BB212C" w:rsidRPr="00A14BBF">
              <w:rPr>
                <w:szCs w:val="24"/>
              </w:rPr>
              <w:t> </w:t>
            </w:r>
            <w:r w:rsidRPr="00A14BBF">
              <w:rPr>
                <w:szCs w:val="24"/>
              </w:rPr>
              <w:t xml:space="preserve">S </w:t>
            </w:r>
            <w:r w:rsidR="00BB212C" w:rsidRPr="00A14BBF">
              <w:rPr>
                <w:szCs w:val="24"/>
              </w:rPr>
              <w:t xml:space="preserve">nebezpečnými odpady je správně nakládáno. </w:t>
            </w:r>
            <w:r w:rsidR="00D20884" w:rsidRPr="00A14BBF">
              <w:rPr>
                <w:szCs w:val="24"/>
              </w:rPr>
              <w:t xml:space="preserve">Zvýšila se možnost kontroly pohybu nebezpečných odpadů po území ČR. </w:t>
            </w:r>
            <w:r w:rsidR="00BB212C" w:rsidRPr="00A14BBF">
              <w:rPr>
                <w:szCs w:val="24"/>
              </w:rPr>
              <w:t>Jsou minimalizovány negativní účinky při nakládání s nebezpečnými odpady na lidské zdraví a životní prostředí.</w:t>
            </w:r>
          </w:p>
        </w:tc>
      </w:tr>
    </w:tbl>
    <w:p w:rsidR="004A4621" w:rsidRPr="00A14BBF" w:rsidRDefault="004A4621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721D51">
        <w:trPr>
          <w:trHeight w:val="71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14BBE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14BB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13.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14BBE" w:rsidRPr="00A14BBF" w:rsidRDefault="008C12E6" w:rsidP="001C1AF2">
            <w:pPr>
              <w:spacing w:line="276" w:lineRule="auto"/>
              <w:jc w:val="center"/>
            </w:pPr>
            <w:r w:rsidRPr="00A14BBF">
              <w:t>3.3.1.5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214BBE" w:rsidRPr="00A14BBF" w:rsidRDefault="008C12E6" w:rsidP="001C1AF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Odstranit staré zátěže, kde se nacházejí nebezpečné odpady.</w:t>
            </w:r>
          </w:p>
        </w:tc>
      </w:tr>
      <w:tr w:rsidR="007E5173" w:rsidTr="00721D51">
        <w:trPr>
          <w:trHeight w:val="415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D11DF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D11DF" w:rsidRPr="00A14BBF" w:rsidRDefault="008C12E6" w:rsidP="00EC3468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 částečně.</w:t>
            </w:r>
          </w:p>
          <w:p w:rsidR="00D87670" w:rsidRPr="00A14BBF" w:rsidRDefault="008C12E6" w:rsidP="00E82950">
            <w:pPr>
              <w:spacing w:after="120" w:line="276" w:lineRule="auto"/>
              <w:rPr>
                <w:rFonts w:cstheme="minorHAnsi"/>
                <w:b/>
              </w:rPr>
            </w:pPr>
            <w:r w:rsidRPr="00A14BBF">
              <w:rPr>
                <w:bCs/>
                <w:szCs w:val="24"/>
              </w:rPr>
              <w:t xml:space="preserve">Z Národního programu Životní prostředí (NPŽP) v rámci </w:t>
            </w:r>
            <w:r w:rsidRPr="00A14BBF">
              <w:rPr>
                <w:szCs w:val="24"/>
              </w:rPr>
              <w:t>Prioritní oblasti</w:t>
            </w:r>
            <w:r w:rsidR="00E82950" w:rsidRPr="00A14BBF">
              <w:rPr>
                <w:szCs w:val="24"/>
              </w:rPr>
              <w:t> </w:t>
            </w:r>
            <w:r w:rsidRPr="00A14BBF">
              <w:rPr>
                <w:szCs w:val="24"/>
              </w:rPr>
              <w:t xml:space="preserve">3. „Odpady, staré zátěže, environmentální rizika“ byly řešeny závažné případy nelegálního nakládání s odpady a sanována místa s havarijním stavem, která představovala akutní riziko pro životní prostředí. Byly řešeny </w:t>
            </w:r>
            <w:r w:rsidRPr="00A14BBF">
              <w:t>nelegální sklady odpadů, místa představu</w:t>
            </w:r>
            <w:r w:rsidRPr="00A14BBF">
              <w:t xml:space="preserve">jící riziko pro lidské zdraví, přičemž původce znečištění neexistoval nebo nebyl znám. </w:t>
            </w:r>
            <w:r w:rsidR="00613022" w:rsidRPr="00A14BBF">
              <w:t>Z</w:t>
            </w:r>
            <w:r w:rsidR="0050610E" w:rsidRPr="00A14BBF">
              <w:t> prostředků státního rozpočtu</w:t>
            </w:r>
            <w:r w:rsidR="00613022" w:rsidRPr="00A14BBF">
              <w:t xml:space="preserve">, </w:t>
            </w:r>
            <w:r w:rsidR="0050610E" w:rsidRPr="00A14BBF">
              <w:t>v</w:t>
            </w:r>
            <w:r w:rsidRPr="00A14BBF">
              <w:t xml:space="preserve"> rámci NPŽP a rovněž v rámci OPŽP byly sanovány staré ekologické zátěže. </w:t>
            </w:r>
            <w:r w:rsidRPr="00A14BBF">
              <w:rPr>
                <w:rFonts w:cstheme="minorHAnsi"/>
              </w:rPr>
              <w:t xml:space="preserve">Přesto je možné na území ČR </w:t>
            </w:r>
            <w:r w:rsidR="00613022" w:rsidRPr="00A14BBF">
              <w:rPr>
                <w:rFonts w:cstheme="minorHAnsi"/>
              </w:rPr>
              <w:t xml:space="preserve">ještě </w:t>
            </w:r>
            <w:r w:rsidRPr="00A14BBF">
              <w:rPr>
                <w:rFonts w:cstheme="minorHAnsi"/>
              </w:rPr>
              <w:t xml:space="preserve">nalézt staré ekologické </w:t>
            </w:r>
            <w:r w:rsidRPr="00A14BBF">
              <w:rPr>
                <w:rFonts w:cstheme="minorHAnsi"/>
              </w:rPr>
              <w:t>zátěže.</w:t>
            </w:r>
            <w:r w:rsidRPr="00A14BBF">
              <w:rPr>
                <w:rFonts w:cstheme="minorHAnsi"/>
                <w:b/>
              </w:rPr>
              <w:t xml:space="preserve"> </w:t>
            </w:r>
          </w:p>
        </w:tc>
      </w:tr>
    </w:tbl>
    <w:p w:rsidR="00E16ADD" w:rsidRPr="00A14BBF" w:rsidRDefault="00E16ADD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F651D8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312B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312B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14.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312BC" w:rsidRPr="00A14BBF" w:rsidRDefault="008C12E6" w:rsidP="001C1AF2">
            <w:pPr>
              <w:spacing w:line="276" w:lineRule="auto"/>
              <w:jc w:val="center"/>
            </w:pPr>
            <w:r w:rsidRPr="00A14BBF">
              <w:t>3.3.1.6.1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A312BC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Zvýšit celkovou recyklaci odpadů z obalů na úroveň 70</w:t>
            </w:r>
            <w:r w:rsidR="009B05FA" w:rsidRPr="00A14BBF">
              <w:rPr>
                <w:b/>
              </w:rPr>
              <w:t> </w:t>
            </w:r>
            <w:r w:rsidRPr="00A14BBF">
              <w:rPr>
                <w:b/>
              </w:rPr>
              <w:t>% do roku 2020.</w:t>
            </w:r>
          </w:p>
          <w:p w:rsidR="00A312BC" w:rsidRPr="00A14BBF" w:rsidRDefault="008C12E6" w:rsidP="001C1AF2">
            <w:pPr>
              <w:spacing w:after="120" w:line="276" w:lineRule="auto"/>
              <w:rPr>
                <w:b/>
              </w:rPr>
            </w:pPr>
            <w:r w:rsidRPr="00A14BBF">
              <w:rPr>
                <w:b/>
              </w:rPr>
              <w:t>Zvýšit celkové využití odpadů z obalů na úroveň 80 % do roku 2020.</w:t>
            </w:r>
          </w:p>
          <w:p w:rsidR="00A312BC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Zvýšit recyklaci papírových a lepenkových obalů na</w:t>
            </w:r>
            <w:r w:rsidR="00010AAC" w:rsidRPr="00A14BBF">
              <w:rPr>
                <w:b/>
              </w:rPr>
              <w:t> </w:t>
            </w:r>
            <w:r w:rsidRPr="00A14BBF">
              <w:rPr>
                <w:b/>
              </w:rPr>
              <w:t>úroveň 75 % do roku 2020.</w:t>
            </w:r>
          </w:p>
          <w:p w:rsidR="00A312BC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Zvýšit </w:t>
            </w:r>
            <w:r w:rsidRPr="00A14BBF">
              <w:rPr>
                <w:b/>
              </w:rPr>
              <w:t>recyklaci skleněných obalů na úroveň 75 % do</w:t>
            </w:r>
            <w:r w:rsidR="00010AAC" w:rsidRPr="00A14BBF">
              <w:rPr>
                <w:b/>
              </w:rPr>
              <w:t> </w:t>
            </w:r>
            <w:r w:rsidRPr="00A14BBF">
              <w:rPr>
                <w:b/>
              </w:rPr>
              <w:t>roku 2020.</w:t>
            </w:r>
          </w:p>
          <w:p w:rsidR="00A312BC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lastRenderedPageBreak/>
              <w:t>Zvýšit recyklaci plastových obalů na úroveň 50 % do</w:t>
            </w:r>
            <w:r w:rsidR="00010AAC" w:rsidRPr="00A14BBF">
              <w:rPr>
                <w:b/>
              </w:rPr>
              <w:t> </w:t>
            </w:r>
            <w:r w:rsidRPr="00A14BBF">
              <w:rPr>
                <w:b/>
              </w:rPr>
              <w:t xml:space="preserve">roku 2020. </w:t>
            </w:r>
          </w:p>
          <w:p w:rsidR="00A312BC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Zvýšit recyklaci kovových obalů na úroveň 55 % do</w:t>
            </w:r>
            <w:r w:rsidR="00010AAC" w:rsidRPr="00A14BBF">
              <w:rPr>
                <w:b/>
              </w:rPr>
              <w:t> </w:t>
            </w:r>
            <w:r w:rsidRPr="00A14BBF">
              <w:rPr>
                <w:b/>
              </w:rPr>
              <w:t>roku 2020.</w:t>
            </w:r>
          </w:p>
          <w:p w:rsidR="00A312BC" w:rsidRPr="00A14BBF" w:rsidRDefault="008C12E6" w:rsidP="001C1AF2">
            <w:pPr>
              <w:spacing w:after="120" w:line="276" w:lineRule="auto"/>
              <w:rPr>
                <w:b/>
              </w:rPr>
            </w:pPr>
            <w:r w:rsidRPr="00A14BBF">
              <w:rPr>
                <w:b/>
              </w:rPr>
              <w:t>Zvýšit recyklaci dřevěných obalů na úroveň 15 % do</w:t>
            </w:r>
            <w:r w:rsidR="00010AAC" w:rsidRPr="00A14BBF">
              <w:rPr>
                <w:b/>
              </w:rPr>
              <w:t> </w:t>
            </w:r>
            <w:r w:rsidRPr="00A14BBF">
              <w:rPr>
                <w:b/>
              </w:rPr>
              <w:t>roku 2020.</w:t>
            </w:r>
          </w:p>
          <w:p w:rsidR="00A312BC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Dosáhnout 55 </w:t>
            </w:r>
            <w:r w:rsidRPr="00A14BBF">
              <w:rPr>
                <w:b/>
              </w:rPr>
              <w:t>% celkového využití prodejních obalů určených spotřebiteli do roku 2020.</w:t>
            </w:r>
          </w:p>
          <w:p w:rsidR="00A312BC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Dosáhnout 50 % recyklace prodejních obalů určených spotřebiteli do roku 2020.</w:t>
            </w:r>
          </w:p>
        </w:tc>
      </w:tr>
      <w:tr w:rsidR="007E5173" w:rsidTr="00F651D8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66EC4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lastRenderedPageBreak/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D4DCF" w:rsidRPr="00A14BBF" w:rsidRDefault="008C12E6" w:rsidP="005746DF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</w:t>
            </w:r>
            <w:r w:rsidR="001D62B3" w:rsidRPr="00A14BBF">
              <w:rPr>
                <w:rFonts w:cstheme="minorHAnsi"/>
                <w:b/>
              </w:rPr>
              <w:t xml:space="preserve"> částečně</w:t>
            </w:r>
            <w:r w:rsidR="0004586E" w:rsidRPr="00A14BBF">
              <w:rPr>
                <w:rFonts w:cstheme="minorHAnsi"/>
                <w:b/>
              </w:rPr>
              <w:t>.</w:t>
            </w:r>
            <w:r w:rsidR="001C610F" w:rsidRPr="00A14BBF">
              <w:rPr>
                <w:rFonts w:cstheme="minorHAnsi"/>
                <w:b/>
              </w:rPr>
              <w:t xml:space="preserve"> </w:t>
            </w:r>
          </w:p>
          <w:p w:rsidR="00403742" w:rsidRPr="00A14BBF" w:rsidRDefault="008C12E6" w:rsidP="00403742">
            <w:pPr>
              <w:spacing w:line="276" w:lineRule="auto"/>
              <w:rPr>
                <w:color w:val="000000" w:themeColor="text1"/>
              </w:rPr>
            </w:pPr>
            <w:r w:rsidRPr="00A14BBF">
              <w:rPr>
                <w:color w:val="000000" w:themeColor="text1"/>
              </w:rPr>
              <w:t xml:space="preserve">Recyklace odpadů z obalů je nejčastějším způsobem jejich využití. Meziročně </w:t>
            </w:r>
            <w:r w:rsidR="00E62800" w:rsidRPr="00A14BBF">
              <w:rPr>
                <w:color w:val="000000" w:themeColor="text1"/>
              </w:rPr>
              <w:t>2019</w:t>
            </w:r>
            <w:r w:rsidR="00E62800">
              <w:rPr>
                <w:color w:val="000000" w:themeColor="text1"/>
              </w:rPr>
              <w:t>–2020</w:t>
            </w:r>
            <w:r w:rsidRPr="00A14BBF">
              <w:rPr>
                <w:color w:val="000000" w:themeColor="text1"/>
              </w:rPr>
              <w:t xml:space="preserve"> došlo k velmi nízkému poklesu množství recyklovaných odpadů z obalů o 48,4 tis. t na celkových 902,3 tis. t v 2020 z 950,7 tis. t v 2019. Podíl recyklovaných odpadů z oba</w:t>
            </w:r>
            <w:r w:rsidRPr="00A14BBF">
              <w:rPr>
                <w:color w:val="000000" w:themeColor="text1"/>
              </w:rPr>
              <w:t xml:space="preserve">lů z celkového množství vzniklých obalových odpadů má ovšem v posledních letech klesající trend, v roce 2020 byl 67,9 % a byl jen částečně plněn cíl recyklace pro rok 2020 (70 %).  V roce 2019 byl 71,2 % a cíl pro rok 2019 (65 %) byl plněn. </w:t>
            </w:r>
          </w:p>
          <w:p w:rsidR="00403742" w:rsidRPr="00A14BBF" w:rsidRDefault="008C12E6" w:rsidP="00403742">
            <w:pPr>
              <w:spacing w:line="276" w:lineRule="auto"/>
            </w:pPr>
            <w:r w:rsidRPr="00A14BBF">
              <w:t>Celkové využit</w:t>
            </w:r>
            <w:r w:rsidRPr="00A14BBF">
              <w:t xml:space="preserve">í odpadů z obalů v roce 2019 bylo </w:t>
            </w:r>
            <w:r w:rsidRPr="00A14BBF">
              <w:rPr>
                <w:rFonts w:cs="Helv"/>
                <w:color w:val="000000"/>
                <w:szCs w:val="24"/>
              </w:rPr>
              <w:t xml:space="preserve">1 007,3 tis. t, </w:t>
            </w:r>
            <w:r w:rsidRPr="00A14BBF">
              <w:t xml:space="preserve">tj. 75,5 % z celkového množství vzniklých odpadů z obalů. Cíl pro rok 2019 (70 %) byl splněn. </w:t>
            </w:r>
            <w:r w:rsidR="00F17A4B" w:rsidRPr="00A14BBF">
              <w:t>V roce 2020 bylo c</w:t>
            </w:r>
            <w:r w:rsidRPr="00A14BBF">
              <w:t xml:space="preserve">elkové množství využitých odpadů z obalů 1 027,7 tis. t, tj. 77,3 % </w:t>
            </w:r>
            <w:r w:rsidR="00F17A4B" w:rsidRPr="00A14BBF">
              <w:t>a c</w:t>
            </w:r>
            <w:r w:rsidRPr="00A14BBF">
              <w:rPr>
                <w:color w:val="000000" w:themeColor="text1"/>
              </w:rPr>
              <w:t xml:space="preserve">íl pro rok 2020 (80 %) </w:t>
            </w:r>
            <w:r w:rsidRPr="00A14BBF">
              <w:rPr>
                <w:color w:val="000000" w:themeColor="text1"/>
              </w:rPr>
              <w:t xml:space="preserve">byl částečně plněn. </w:t>
            </w:r>
          </w:p>
          <w:p w:rsidR="00403742" w:rsidRPr="00A14BBF" w:rsidRDefault="008C12E6" w:rsidP="001D62B3">
            <w:pPr>
              <w:spacing w:after="120" w:line="276" w:lineRule="auto"/>
            </w:pPr>
            <w:r w:rsidRPr="00A14BBF">
              <w:t xml:space="preserve">Meziročně </w:t>
            </w:r>
            <w:r w:rsidR="00E62800" w:rsidRPr="00A14BBF">
              <w:t>2019</w:t>
            </w:r>
            <w:r w:rsidR="00E62800">
              <w:t>–2020</w:t>
            </w:r>
            <w:r w:rsidRPr="00A14BBF">
              <w:t xml:space="preserve"> </w:t>
            </w:r>
            <w:r w:rsidR="00F17A4B" w:rsidRPr="00A14BBF">
              <w:t xml:space="preserve">ovšem opět </w:t>
            </w:r>
            <w:r w:rsidRPr="00A14BBF">
              <w:t>vzrostlo množství využitých odpadů z</w:t>
            </w:r>
            <w:r w:rsidR="00044EED" w:rsidRPr="00A14BBF">
              <w:t> </w:t>
            </w:r>
            <w:r w:rsidRPr="00A14BBF">
              <w:t>obalů v ČR o 20,4</w:t>
            </w:r>
            <w:r w:rsidRPr="00A14BBF">
              <w:rPr>
                <w:spacing w:val="-5"/>
              </w:rPr>
              <w:t> </w:t>
            </w:r>
            <w:r w:rsidRPr="00A14BBF">
              <w:t xml:space="preserve">tis. t.  </w:t>
            </w:r>
          </w:p>
          <w:p w:rsidR="00A04307" w:rsidRPr="00A14BBF" w:rsidRDefault="008C12E6" w:rsidP="00FC4C8C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szCs w:val="24"/>
              </w:rPr>
              <w:t>Celkové využití prodejních obalů určených spotřebiteli bylo v 2019 - 63,8 % a v roce 2020 novou metodikou 73,3 %. Cíle (53 % (2019), 55 % (</w:t>
            </w:r>
            <w:r w:rsidRPr="00A14BBF">
              <w:rPr>
                <w:rFonts w:cstheme="minorHAnsi"/>
                <w:szCs w:val="24"/>
              </w:rPr>
              <w:t xml:space="preserve">2020)) jsou plněny. </w:t>
            </w:r>
          </w:p>
          <w:p w:rsidR="00403742" w:rsidRPr="00A14BBF" w:rsidRDefault="008C12E6" w:rsidP="00FC4C8C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szCs w:val="24"/>
              </w:rPr>
              <w:t xml:space="preserve">Recyklace prodejních obalů určených spotřebiteli byla v roce 2019 - 63,8 % a v roce 2020 novou metodikou 54,8 %. Cíle (48 % (2019), 50 % (2020) </w:t>
            </w:r>
            <w:r w:rsidRPr="00A14BBF">
              <w:rPr>
                <w:rFonts w:cstheme="minorHAnsi"/>
                <w:color w:val="000000" w:themeColor="text1"/>
                <w:szCs w:val="24"/>
              </w:rPr>
              <w:t>jsou plněny.</w:t>
            </w:r>
          </w:p>
        </w:tc>
      </w:tr>
    </w:tbl>
    <w:p w:rsidR="00E02A13" w:rsidRPr="00A14BBF" w:rsidRDefault="00E02A13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134"/>
        <w:gridCol w:w="5528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024A7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8024A7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15.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024A7" w:rsidRPr="00A14BBF" w:rsidRDefault="008C12E6" w:rsidP="001C1AF2">
            <w:pPr>
              <w:spacing w:line="276" w:lineRule="auto"/>
              <w:jc w:val="center"/>
            </w:pPr>
            <w:r w:rsidRPr="00A14BBF">
              <w:t>3.3.1.6.1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024A7" w:rsidRPr="00A14BBF" w:rsidRDefault="008C12E6" w:rsidP="00BC75CC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V letech </w:t>
            </w:r>
            <w:r w:rsidR="00E62800" w:rsidRPr="00A14BBF">
              <w:rPr>
                <w:rFonts w:cstheme="minorHAnsi"/>
                <w:b/>
              </w:rPr>
              <w:t>2015–2020</w:t>
            </w:r>
            <w:r w:rsidRPr="00A14BBF">
              <w:rPr>
                <w:rFonts w:cstheme="minorHAnsi"/>
                <w:b/>
              </w:rPr>
              <w:t xml:space="preserve"> dosáhnout míry recyklace a využití obalových odpadů v hodnotách uvedených v</w:t>
            </w:r>
            <w:r w:rsidR="0015429A" w:rsidRPr="00A14BBF">
              <w:rPr>
                <w:rFonts w:cstheme="minorHAnsi"/>
                <w:b/>
              </w:rPr>
              <w:t> </w:t>
            </w:r>
            <w:r w:rsidRPr="00A14BBF">
              <w:rPr>
                <w:rFonts w:cstheme="minorHAnsi"/>
                <w:b/>
              </w:rPr>
              <w:t>tabulce</w:t>
            </w:r>
            <w:r w:rsidR="0015429A" w:rsidRPr="00A14BBF">
              <w:rPr>
                <w:rFonts w:cstheme="minorHAnsi"/>
                <w:b/>
              </w:rPr>
              <w:t>:</w:t>
            </w:r>
          </w:p>
        </w:tc>
      </w:tr>
      <w:tr w:rsidR="007E5173" w:rsidTr="000B36E1">
        <w:trPr>
          <w:trHeight w:val="416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E16ADD" w:rsidRPr="00A14BBF" w:rsidRDefault="00E16ADD" w:rsidP="00E16A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E16ADD" w:rsidRPr="00A14BBF" w:rsidRDefault="00E16ADD" w:rsidP="00E16ADD">
            <w:pPr>
              <w:spacing w:line="276" w:lineRule="auto"/>
              <w:ind w:left="284"/>
              <w:rPr>
                <w:i/>
                <w:sz w:val="18"/>
                <w:szCs w:val="18"/>
              </w:rPr>
            </w:pPr>
          </w:p>
          <w:p w:rsidR="00E16ADD" w:rsidRPr="00A14BBF" w:rsidRDefault="00E16ADD" w:rsidP="00E16ADD">
            <w:pPr>
              <w:spacing w:line="276" w:lineRule="auto"/>
              <w:ind w:left="284"/>
              <w:rPr>
                <w:sz w:val="18"/>
                <w:szCs w:val="18"/>
              </w:rPr>
            </w:pPr>
          </w:p>
          <w:p w:rsidR="0015429A" w:rsidRPr="00A14BBF" w:rsidRDefault="0015429A" w:rsidP="00E16ADD">
            <w:pPr>
              <w:spacing w:line="276" w:lineRule="auto"/>
              <w:ind w:left="284"/>
              <w:rPr>
                <w:sz w:val="18"/>
                <w:szCs w:val="18"/>
              </w:rPr>
            </w:pPr>
          </w:p>
          <w:p w:rsidR="0015429A" w:rsidRPr="00A14BBF" w:rsidRDefault="0015429A" w:rsidP="00E16ADD">
            <w:pPr>
              <w:spacing w:line="276" w:lineRule="auto"/>
              <w:ind w:left="284"/>
              <w:rPr>
                <w:sz w:val="18"/>
                <w:szCs w:val="18"/>
              </w:rPr>
            </w:pPr>
          </w:p>
          <w:tbl>
            <w:tblPr>
              <w:tblW w:w="6335" w:type="dxa"/>
              <w:tblInd w:w="41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441"/>
              <w:gridCol w:w="438"/>
              <w:gridCol w:w="437"/>
              <w:gridCol w:w="442"/>
              <w:gridCol w:w="441"/>
              <w:gridCol w:w="442"/>
              <w:gridCol w:w="338"/>
              <w:gridCol w:w="442"/>
              <w:gridCol w:w="338"/>
              <w:gridCol w:w="441"/>
              <w:gridCol w:w="338"/>
              <w:gridCol w:w="441"/>
            </w:tblGrid>
            <w:tr w:rsidR="007E5173" w:rsidTr="00B400B4">
              <w:trPr>
                <w:trHeight w:val="442"/>
              </w:trPr>
              <w:tc>
                <w:tcPr>
                  <w:tcW w:w="1356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lastRenderedPageBreak/>
                    <w:t xml:space="preserve">Odpady z obalů 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do </w:t>
                  </w: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br/>
                    <w:t>31. 12.</w:t>
                  </w:r>
                </w:p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2015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do </w:t>
                  </w: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br/>
                    <w:t>31. 12.</w:t>
                  </w:r>
                </w:p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2016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do </w:t>
                  </w: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br/>
                    <w:t>31. 12.</w:t>
                  </w:r>
                </w:p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2017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do </w:t>
                  </w: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br/>
                    <w:t>31. 12.</w:t>
                  </w:r>
                </w:p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2018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do </w:t>
                  </w: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br/>
                    <w:t>31. 12.</w:t>
                  </w:r>
                </w:p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2019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do </w:t>
                  </w: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br/>
                    <w:t>31. 12.</w:t>
                  </w:r>
                </w:p>
                <w:p w:rsidR="00E16ADD" w:rsidRPr="00A14BBF" w:rsidRDefault="008C12E6" w:rsidP="00E16ADD">
                  <w:pPr>
                    <w:spacing w:line="276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2020</w:t>
                  </w: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FF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%</w:t>
                  </w:r>
                </w:p>
              </w:tc>
            </w:tr>
            <w:tr w:rsidR="007E5173" w:rsidTr="00B400B4">
              <w:trPr>
                <w:trHeight w:val="311"/>
              </w:trPr>
              <w:tc>
                <w:tcPr>
                  <w:tcW w:w="135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t>Papír</w:t>
                  </w:r>
                  <w:r w:rsidRPr="00A14BBF">
                    <w:rPr>
                      <w:b/>
                      <w:bCs/>
                      <w:sz w:val="18"/>
                      <w:szCs w:val="18"/>
                      <w:lang w:eastAsia="cs-CZ"/>
                    </w:rPr>
                    <w:t>ových a lepenkových</w:t>
                  </w:r>
                </w:p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3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t>Skleněných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75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t>Plast</w:t>
                  </w:r>
                  <w:r w:rsidRPr="00A14BBF">
                    <w:rPr>
                      <w:b/>
                      <w:bCs/>
                      <w:sz w:val="18"/>
                      <w:szCs w:val="18"/>
                      <w:lang w:eastAsia="cs-CZ"/>
                    </w:rPr>
                    <w:t>ových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40</w:t>
                  </w:r>
                </w:p>
              </w:tc>
              <w:tc>
                <w:tcPr>
                  <w:tcW w:w="4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50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t>Kovových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  <w:tc>
                <w:tcPr>
                  <w:tcW w:w="4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t>Dřevěných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4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  <w:tc>
                <w:tcPr>
                  <w:tcW w:w="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6ADD" w:rsidRPr="00A14BBF" w:rsidRDefault="00E16ADD" w:rsidP="00E16ADD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t>Prodejních určených spotřebiteli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40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color w:val="000000"/>
                      <w:sz w:val="18"/>
                      <w:szCs w:val="18"/>
                      <w:lang w:eastAsia="cs-CZ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51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  <w:lang w:eastAsia="cs-CZ"/>
                    </w:rPr>
                    <w:t>50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</w:tr>
            <w:tr w:rsidR="007E5173" w:rsidTr="00B400B4">
              <w:trPr>
                <w:trHeight w:val="183"/>
              </w:trPr>
              <w:tc>
                <w:tcPr>
                  <w:tcW w:w="135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lef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bCs/>
                      <w:snapToGrid w:val="0"/>
                      <w:sz w:val="18"/>
                      <w:szCs w:val="18"/>
                      <w:lang w:eastAsia="cs-CZ"/>
                    </w:rPr>
                    <w:t>Celkem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color w:val="000000"/>
                      <w:sz w:val="18"/>
                      <w:szCs w:val="18"/>
                      <w:lang w:eastAsia="cs-CZ"/>
                    </w:rPr>
                    <w:t>60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snapToGrid w:val="0"/>
                      <w:color w:val="000000"/>
                      <w:sz w:val="18"/>
                      <w:szCs w:val="18"/>
                      <w:lang w:eastAsia="cs-CZ"/>
                    </w:rPr>
                    <w:t>65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b/>
                      <w:color w:val="000000"/>
                      <w:sz w:val="18"/>
                      <w:szCs w:val="18"/>
                      <w:lang w:eastAsia="cs-CZ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65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70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70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65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70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70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16ADD" w:rsidRPr="00A14BBF" w:rsidRDefault="008C12E6" w:rsidP="00E16ADD">
                  <w:pPr>
                    <w:spacing w:line="276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  <w:lang w:eastAsia="cs-CZ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80</w:t>
                  </w:r>
                </w:p>
              </w:tc>
            </w:tr>
          </w:tbl>
          <w:p w:rsidR="00E16ADD" w:rsidRPr="00A14BBF" w:rsidRDefault="008C12E6" w:rsidP="00B90D24">
            <w:pPr>
              <w:spacing w:after="120" w:line="276" w:lineRule="auto"/>
              <w:ind w:left="284"/>
              <w:rPr>
                <w:szCs w:val="24"/>
              </w:rPr>
            </w:pPr>
            <w:r w:rsidRPr="00A14BBF">
              <w:rPr>
                <w:i/>
                <w:sz w:val="18"/>
                <w:szCs w:val="18"/>
              </w:rPr>
              <w:t>A: recyklace, B: celkové využití</w:t>
            </w: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E16ADD" w:rsidRPr="00A14BBF" w:rsidRDefault="008C12E6" w:rsidP="00E16ADD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lastRenderedPageBreak/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34957" w:rsidRPr="00A14BBF" w:rsidRDefault="008C12E6" w:rsidP="00B34957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 částečně.</w:t>
            </w:r>
          </w:p>
          <w:p w:rsidR="0015429A" w:rsidRPr="00A14BBF" w:rsidRDefault="008C12E6" w:rsidP="007A771A">
            <w:pPr>
              <w:spacing w:line="276" w:lineRule="auto"/>
              <w:rPr>
                <w:rFonts w:cstheme="minorHAnsi"/>
              </w:rPr>
            </w:pPr>
            <w:r w:rsidRPr="00A14BBF">
              <w:rPr>
                <w:color w:val="000000" w:themeColor="text1"/>
              </w:rPr>
              <w:t>Cíle pro recyklaci a využití obalových odpadů podle materiálů byly v roce 2019 všechny splněny. V roce 2020 byl</w:t>
            </w:r>
            <w:r w:rsidR="00233E5B" w:rsidRPr="00A14BBF">
              <w:rPr>
                <w:color w:val="000000" w:themeColor="text1"/>
              </w:rPr>
              <w:t>y</w:t>
            </w:r>
            <w:r w:rsidRPr="00A14BBF">
              <w:rPr>
                <w:color w:val="000000" w:themeColor="text1"/>
              </w:rPr>
              <w:t xml:space="preserve"> také všechny cíle podle materiálu plněny, vyjma jednoho. V roce 2020 byl cíl pro recyklaci plastových obalů plněn částečně. V roce 2020 </w:t>
            </w:r>
            <w:r w:rsidRPr="00A14BBF">
              <w:rPr>
                <w:color w:val="000000" w:themeColor="text1"/>
                <w:szCs w:val="24"/>
              </w:rPr>
              <w:t>b</w:t>
            </w:r>
            <w:r w:rsidRPr="00A14BBF">
              <w:rPr>
                <w:rFonts w:cstheme="minorHAnsi"/>
                <w:color w:val="000000" w:themeColor="text1"/>
                <w:szCs w:val="24"/>
              </w:rPr>
              <w:t xml:space="preserve">yla recyklace plastových obalů 41,8 % a v roce </w:t>
            </w:r>
            <w:proofErr w:type="gramStart"/>
            <w:r w:rsidRPr="00A14BBF">
              <w:rPr>
                <w:rFonts w:cstheme="minorHAnsi"/>
                <w:color w:val="000000" w:themeColor="text1"/>
                <w:szCs w:val="24"/>
              </w:rPr>
              <w:t>2019 - 61</w:t>
            </w:r>
            <w:proofErr w:type="gramEnd"/>
            <w:r w:rsidRPr="00A14BBF">
              <w:rPr>
                <w:rFonts w:cstheme="minorHAnsi"/>
                <w:color w:val="000000" w:themeColor="text1"/>
                <w:szCs w:val="24"/>
              </w:rPr>
              <w:t xml:space="preserve"> %. Cíl (45 %) v roce 2019 byl plněn, ale cíl pro rok 2020 (50</w:t>
            </w:r>
            <w:r w:rsidRPr="00A14BBF">
              <w:rPr>
                <w:rFonts w:cstheme="minorHAnsi"/>
                <w:color w:val="000000" w:themeColor="text1"/>
                <w:szCs w:val="24"/>
              </w:rPr>
              <w:t xml:space="preserve"> %) byl plněn jen částečně.  </w:t>
            </w:r>
          </w:p>
        </w:tc>
      </w:tr>
    </w:tbl>
    <w:p w:rsidR="00E16ADD" w:rsidRPr="00A14BBF" w:rsidRDefault="00E16ADD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134"/>
        <w:gridCol w:w="5528"/>
      </w:tblGrid>
      <w:tr w:rsidR="007E5173" w:rsidTr="000B36E1">
        <w:trPr>
          <w:trHeight w:val="71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72489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2489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489" w:rsidRPr="00A14BBF" w:rsidRDefault="008C12E6" w:rsidP="001C1AF2">
            <w:pPr>
              <w:spacing w:line="276" w:lineRule="auto"/>
              <w:jc w:val="center"/>
            </w:pPr>
            <w:r w:rsidRPr="00A14BBF">
              <w:t>3.3.1.6.2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91BA0" w:rsidRPr="00A14BBF" w:rsidRDefault="008C12E6" w:rsidP="003663FC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Dosahovat </w:t>
            </w:r>
            <w:r w:rsidRPr="00A14BBF">
              <w:rPr>
                <w:b/>
              </w:rPr>
              <w:t>vysoké úrovně tříděného sběru odpadních elektrických a elektronických zařízení.</w:t>
            </w:r>
          </w:p>
        </w:tc>
      </w:tr>
      <w:tr w:rsidR="007E5173" w:rsidTr="000B36E1">
        <w:trPr>
          <w:trHeight w:val="32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91BA0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BA0" w:rsidRPr="00A14BBF" w:rsidRDefault="008C12E6" w:rsidP="00DB78A0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</w:t>
            </w:r>
            <w:r w:rsidR="00607C83" w:rsidRPr="00A14BBF">
              <w:rPr>
                <w:rFonts w:cstheme="minorHAnsi"/>
                <w:b/>
              </w:rPr>
              <w:t>.</w:t>
            </w:r>
            <w:r w:rsidRPr="00A14BBF">
              <w:rPr>
                <w:rFonts w:cstheme="minorHAnsi"/>
                <w:b/>
              </w:rPr>
              <w:t xml:space="preserve"> </w:t>
            </w:r>
          </w:p>
          <w:p w:rsidR="00D04202" w:rsidRPr="00A14BBF" w:rsidRDefault="008C12E6" w:rsidP="00D0420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</w:rPr>
              <w:t>V letech 201</w:t>
            </w:r>
            <w:r w:rsidR="008401F8" w:rsidRPr="00A14BBF">
              <w:rPr>
                <w:rFonts w:cstheme="minorHAnsi"/>
              </w:rPr>
              <w:t>9</w:t>
            </w:r>
            <w:r w:rsidRPr="00A14BBF">
              <w:rPr>
                <w:rFonts w:cstheme="minorHAnsi"/>
              </w:rPr>
              <w:t xml:space="preserve"> i 20</w:t>
            </w:r>
            <w:r w:rsidR="008401F8" w:rsidRPr="00A14BBF">
              <w:rPr>
                <w:rFonts w:cstheme="minorHAnsi"/>
              </w:rPr>
              <w:t>20</w:t>
            </w:r>
            <w:r w:rsidRPr="00A14BBF">
              <w:rPr>
                <w:rFonts w:cstheme="minorHAnsi"/>
              </w:rPr>
              <w:t xml:space="preserve"> pokračoval trend </w:t>
            </w:r>
            <w:r w:rsidR="009364B8" w:rsidRPr="00A14BBF">
              <w:rPr>
                <w:rFonts w:cstheme="minorHAnsi"/>
              </w:rPr>
              <w:t xml:space="preserve">postupně se </w:t>
            </w:r>
            <w:r w:rsidRPr="00A14BBF">
              <w:rPr>
                <w:rFonts w:cstheme="minorHAnsi"/>
              </w:rPr>
              <w:t xml:space="preserve">zvyšujícího </w:t>
            </w:r>
            <w:r w:rsidRPr="00A14BBF">
              <w:t xml:space="preserve">zpětného </w:t>
            </w:r>
            <w:r w:rsidRPr="00A14BBF">
              <w:t>odběru a</w:t>
            </w:r>
            <w:r w:rsidR="00594108" w:rsidRPr="00A14BBF">
              <w:t> </w:t>
            </w:r>
            <w:r w:rsidRPr="00A14BBF">
              <w:t xml:space="preserve">odděleného sběru odpadních elektrozařízení. </w:t>
            </w:r>
            <w:r w:rsidR="009364B8" w:rsidRPr="00A14BBF">
              <w:t xml:space="preserve">Bylo dosaženo dostatečně vysoké úrovně </w:t>
            </w:r>
            <w:r w:rsidRPr="00A14BBF">
              <w:t>zpětného odběru elektrozařízení a odděleného sběru elektroodpadů</w:t>
            </w:r>
            <w:r w:rsidR="009364B8" w:rsidRPr="00A14BBF">
              <w:t xml:space="preserve">. </w:t>
            </w:r>
          </w:p>
        </w:tc>
      </w:tr>
    </w:tbl>
    <w:p w:rsidR="007F7268" w:rsidRPr="00A14BBF" w:rsidRDefault="007F7268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134"/>
        <w:gridCol w:w="5528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72045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04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045" w:rsidRPr="00A14BBF" w:rsidRDefault="008C12E6" w:rsidP="001C1AF2">
            <w:pPr>
              <w:spacing w:line="276" w:lineRule="auto"/>
              <w:jc w:val="center"/>
            </w:pPr>
            <w:r w:rsidRPr="00A14BBF">
              <w:t>3.3.1.6.2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2045" w:rsidRPr="00A14BBF" w:rsidRDefault="008C12E6" w:rsidP="00607C83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Do 31. prosince 2015 d</w:t>
            </w:r>
            <w:r w:rsidRPr="00A14BBF">
              <w:rPr>
                <w:b/>
                <w:color w:val="000000"/>
              </w:rPr>
              <w:t>osáhnout úrovně</w:t>
            </w:r>
            <w:r w:rsidRPr="00A14BBF">
              <w:rPr>
                <w:rFonts w:cs="Calibri"/>
                <w:b/>
                <w:color w:val="000000"/>
              </w:rPr>
              <w:t xml:space="preserve"> tříděného </w:t>
            </w:r>
            <w:r w:rsidRPr="00A14BBF">
              <w:rPr>
                <w:b/>
                <w:color w:val="000000"/>
              </w:rPr>
              <w:t>sběru</w:t>
            </w:r>
            <w:r w:rsidRPr="00A14BBF">
              <w:rPr>
                <w:rFonts w:cs="Calibri"/>
                <w:b/>
                <w:color w:val="000000"/>
              </w:rPr>
              <w:t xml:space="preserve"> </w:t>
            </w:r>
            <w:r w:rsidRPr="00A14BBF">
              <w:rPr>
                <w:b/>
              </w:rPr>
              <w:t xml:space="preserve">odpadních elektrických </w:t>
            </w:r>
            <w:r w:rsidRPr="00A14BBF">
              <w:rPr>
                <w:b/>
              </w:rPr>
              <w:t>a elektronických zařízení</w:t>
            </w:r>
            <w:r w:rsidRPr="00A14BBF">
              <w:rPr>
                <w:rFonts w:cs="Calibri"/>
                <w:b/>
                <w:color w:val="000000"/>
              </w:rPr>
              <w:t xml:space="preserve"> na jednoho občana za kalendářní rok v hodnotě:</w:t>
            </w:r>
            <w:r w:rsidR="00607C83" w:rsidRPr="00A14BBF">
              <w:rPr>
                <w:rFonts w:cs="Calibri"/>
                <w:b/>
                <w:color w:val="000000"/>
              </w:rPr>
              <w:t xml:space="preserve"> </w:t>
            </w:r>
            <w:r w:rsidRPr="00A14BBF">
              <w:rPr>
                <w:rFonts w:cs="Calibri"/>
                <w:b/>
                <w:color w:val="000000"/>
              </w:rPr>
              <w:t>D</w:t>
            </w:r>
            <w:r w:rsidRPr="00A14BBF">
              <w:rPr>
                <w:rFonts w:cstheme="minorHAnsi"/>
                <w:b/>
                <w:color w:val="000000"/>
              </w:rPr>
              <w:t xml:space="preserve">o 31. prosince </w:t>
            </w:r>
            <w:proofErr w:type="gramStart"/>
            <w:r w:rsidRPr="00A14BBF">
              <w:rPr>
                <w:rFonts w:cstheme="minorHAnsi"/>
                <w:b/>
                <w:color w:val="000000"/>
              </w:rPr>
              <w:t xml:space="preserve">2015 </w:t>
            </w:r>
            <w:r w:rsidRPr="00A14BBF">
              <w:rPr>
                <w:rFonts w:cstheme="minorHAnsi"/>
                <w:b/>
                <w:color w:val="000000"/>
                <w:lang w:val="en-US"/>
              </w:rPr>
              <w:t>&gt;</w:t>
            </w:r>
            <w:proofErr w:type="gramEnd"/>
            <w:r w:rsidRPr="00A14BBF">
              <w:rPr>
                <w:rFonts w:cstheme="minorHAnsi"/>
                <w:b/>
                <w:color w:val="000000"/>
                <w:lang w:val="en-US"/>
              </w:rPr>
              <w:t xml:space="preserve"> 5,5 kg /</w:t>
            </w:r>
            <w:proofErr w:type="spellStart"/>
            <w:r w:rsidRPr="00A14BBF">
              <w:rPr>
                <w:rFonts w:cstheme="minorHAnsi"/>
                <w:b/>
                <w:color w:val="000000"/>
                <w:lang w:val="en-US"/>
              </w:rPr>
              <w:t>obyv</w:t>
            </w:r>
            <w:proofErr w:type="spellEnd"/>
            <w:r w:rsidRPr="00A14BBF">
              <w:rPr>
                <w:rFonts w:cstheme="minorHAnsi"/>
                <w:b/>
                <w:color w:val="000000"/>
                <w:lang w:val="en-US"/>
              </w:rPr>
              <w:t>./</w:t>
            </w:r>
            <w:proofErr w:type="spellStart"/>
            <w:r w:rsidRPr="00A14BBF">
              <w:rPr>
                <w:rFonts w:cstheme="minorHAnsi"/>
                <w:b/>
                <w:color w:val="000000"/>
                <w:lang w:val="en-US"/>
              </w:rPr>
              <w:t>rok</w:t>
            </w:r>
            <w:proofErr w:type="spellEnd"/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7204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1AC0" w:rsidRPr="00A14BBF" w:rsidRDefault="008C12E6" w:rsidP="008B1AC0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</w:t>
            </w:r>
            <w:r w:rsidR="00607C83" w:rsidRPr="00A14BBF">
              <w:rPr>
                <w:rFonts w:cstheme="minorHAnsi"/>
                <w:b/>
              </w:rPr>
              <w:t>.</w:t>
            </w:r>
            <w:r w:rsidRPr="00A14BBF">
              <w:rPr>
                <w:rFonts w:cstheme="minorHAnsi"/>
                <w:b/>
              </w:rPr>
              <w:t xml:space="preserve"> </w:t>
            </w:r>
          </w:p>
          <w:p w:rsidR="00D04202" w:rsidRPr="00A14BBF" w:rsidRDefault="008C12E6" w:rsidP="00D0420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bCs/>
              </w:rPr>
              <w:t xml:space="preserve">V roce 2019 bylo v ČR sebráno 9,5 kg/obyv. a v roce 2020 bylo sebráno 11,1 kg/obyv. odpadních </w:t>
            </w:r>
            <w:r w:rsidRPr="00A14BBF">
              <w:rPr>
                <w:bCs/>
              </w:rPr>
              <w:t>elektrických a elektronických zařízení. Meziročně došlo k navýšení o 1,6 kg/obyv.</w:t>
            </w:r>
          </w:p>
        </w:tc>
      </w:tr>
    </w:tbl>
    <w:p w:rsidR="00E02A13" w:rsidRPr="00A14BBF" w:rsidRDefault="00E02A13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134"/>
        <w:gridCol w:w="5528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lastRenderedPageBreak/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18.</w:t>
            </w:r>
          </w:p>
        </w:tc>
        <w:tc>
          <w:tcPr>
            <w:tcW w:w="1134" w:type="dxa"/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t>3.3.1.6.2</w:t>
            </w:r>
          </w:p>
        </w:tc>
        <w:tc>
          <w:tcPr>
            <w:tcW w:w="5528" w:type="dxa"/>
            <w:vAlign w:val="center"/>
          </w:tcPr>
          <w:p w:rsidR="002E1BE6" w:rsidRPr="00A14BBF" w:rsidRDefault="008C12E6" w:rsidP="0072676F">
            <w:pPr>
              <w:spacing w:line="276" w:lineRule="auto"/>
              <w:rPr>
                <w:b/>
              </w:rPr>
            </w:pPr>
            <w:r w:rsidRPr="00A14BBF">
              <w:rPr>
                <w:rFonts w:cs="Calibri"/>
                <w:b/>
                <w:color w:val="000000"/>
              </w:rPr>
              <w:t xml:space="preserve">V letech </w:t>
            </w:r>
            <w:r w:rsidR="00C1329D" w:rsidRPr="00A14BBF">
              <w:rPr>
                <w:rFonts w:cs="Calibri"/>
                <w:b/>
                <w:color w:val="000000"/>
              </w:rPr>
              <w:t>2016–2021</w:t>
            </w:r>
            <w:r w:rsidRPr="00A14BBF">
              <w:rPr>
                <w:rFonts w:cs="Calibri"/>
                <w:b/>
                <w:color w:val="000000"/>
              </w:rPr>
              <w:t xml:space="preserve"> dosáhnout </w:t>
            </w:r>
            <w:r w:rsidRPr="00A14BBF">
              <w:rPr>
                <w:b/>
              </w:rPr>
              <w:t>minimálních úrovní sběru odpadních elektrických a elektronických zařízení uvedených v tabulce</w:t>
            </w:r>
            <w:r w:rsidR="00314D96" w:rsidRPr="00A14BBF">
              <w:rPr>
                <w:b/>
              </w:rPr>
              <w:t>:</w:t>
            </w:r>
            <w:r w:rsidRPr="00A14BBF">
              <w:rPr>
                <w:rFonts w:cs="Calibri"/>
                <w:b/>
                <w:color w:val="000000"/>
              </w:rPr>
              <w:t xml:space="preserve"> </w:t>
            </w:r>
            <w:r w:rsidRPr="00A14BBF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7E5173" w:rsidTr="000B36E1">
        <w:trPr>
          <w:trHeight w:val="282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E1BE6" w:rsidRPr="00A14BBF" w:rsidRDefault="002E1BE6" w:rsidP="001C1A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</w:tcPr>
          <w:p w:rsidR="00314D96" w:rsidRPr="00A14BBF" w:rsidRDefault="00314D96" w:rsidP="001C1AF2">
            <w:pPr>
              <w:spacing w:line="276" w:lineRule="auto"/>
              <w:rPr>
                <w:rFonts w:cs="Calibri"/>
                <w:color w:val="000000"/>
              </w:rPr>
            </w:pPr>
          </w:p>
          <w:tbl>
            <w:tblPr>
              <w:tblW w:w="50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0"/>
              <w:gridCol w:w="2268"/>
            </w:tblGrid>
            <w:tr w:rsidR="007E5173" w:rsidTr="00314D96">
              <w:trPr>
                <w:trHeight w:val="305"/>
              </w:trPr>
              <w:tc>
                <w:tcPr>
                  <w:tcW w:w="2820" w:type="dxa"/>
                  <w:tcBorders>
                    <w:top w:val="single" w:sz="8" w:space="0" w:color="auto"/>
                  </w:tcBorders>
                  <w:noWrap/>
                  <w:vAlign w:val="center"/>
                </w:tcPr>
                <w:p w:rsidR="00314D96" w:rsidRPr="00A14BBF" w:rsidRDefault="00314D9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</w:tcBorders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14BBF"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  <w:t>Tříděný s</w:t>
                  </w:r>
                  <w:proofErr w:type="spellStart"/>
                  <w:r w:rsidRPr="00A14BBF">
                    <w:rPr>
                      <w:sz w:val="18"/>
                      <w:szCs w:val="18"/>
                      <w:lang w:val="en-US"/>
                    </w:rPr>
                    <w:t>běr</w:t>
                  </w:r>
                  <w:proofErr w:type="spellEnd"/>
                </w:p>
              </w:tc>
            </w:tr>
            <w:tr w:rsidR="007E5173" w:rsidTr="004065B5">
              <w:trPr>
                <w:trHeight w:val="305"/>
              </w:trPr>
              <w:tc>
                <w:tcPr>
                  <w:tcW w:w="2820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 xml:space="preserve">Cíl pro </w:t>
                  </w:r>
                  <w:r w:rsidRPr="00A14BBF">
                    <w:rPr>
                      <w:sz w:val="18"/>
                      <w:szCs w:val="18"/>
                    </w:rPr>
                    <w:t>rok 2016 (do 14. srpna 2016)</w:t>
                  </w:r>
                </w:p>
              </w:tc>
              <w:tc>
                <w:tcPr>
                  <w:tcW w:w="2268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  <w:lang w:val="en-US"/>
                    </w:rPr>
                    <w:t xml:space="preserve">&gt; </w:t>
                  </w:r>
                  <w:r w:rsidRPr="00A14BBF">
                    <w:rPr>
                      <w:sz w:val="18"/>
                      <w:szCs w:val="18"/>
                    </w:rPr>
                    <w:t>40 %</w:t>
                  </w:r>
                </w:p>
              </w:tc>
            </w:tr>
            <w:tr w:rsidR="007E5173" w:rsidTr="004065B5">
              <w:trPr>
                <w:trHeight w:val="305"/>
              </w:trPr>
              <w:tc>
                <w:tcPr>
                  <w:tcW w:w="2820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>Cíl pro rok 2017</w:t>
                  </w:r>
                </w:p>
              </w:tc>
              <w:tc>
                <w:tcPr>
                  <w:tcW w:w="2268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14BBF">
                    <w:rPr>
                      <w:sz w:val="18"/>
                      <w:szCs w:val="18"/>
                      <w:lang w:val="en-US"/>
                    </w:rPr>
                    <w:t xml:space="preserve">&gt; 45 </w:t>
                  </w:r>
                  <w:r w:rsidRPr="00A14BBF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7E5173" w:rsidTr="004065B5">
              <w:trPr>
                <w:trHeight w:val="305"/>
              </w:trPr>
              <w:tc>
                <w:tcPr>
                  <w:tcW w:w="2820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>Cíl pro rok 2018</w:t>
                  </w:r>
                </w:p>
              </w:tc>
              <w:tc>
                <w:tcPr>
                  <w:tcW w:w="2268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14BBF">
                    <w:rPr>
                      <w:sz w:val="18"/>
                      <w:szCs w:val="18"/>
                      <w:lang w:val="en-US"/>
                    </w:rPr>
                    <w:t xml:space="preserve">&gt; </w:t>
                  </w:r>
                  <w:r w:rsidRPr="00A14BBF">
                    <w:rPr>
                      <w:sz w:val="18"/>
                      <w:szCs w:val="18"/>
                    </w:rPr>
                    <w:t>50 %</w:t>
                  </w:r>
                </w:p>
              </w:tc>
            </w:tr>
            <w:tr w:rsidR="007E5173" w:rsidTr="004065B5">
              <w:trPr>
                <w:trHeight w:val="305"/>
              </w:trPr>
              <w:tc>
                <w:tcPr>
                  <w:tcW w:w="2820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>Cíl pro rok 2019</w:t>
                  </w:r>
                </w:p>
              </w:tc>
              <w:tc>
                <w:tcPr>
                  <w:tcW w:w="2268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14BBF">
                    <w:rPr>
                      <w:sz w:val="18"/>
                      <w:szCs w:val="18"/>
                      <w:lang w:val="en-US"/>
                    </w:rPr>
                    <w:t>&gt; 55 %</w:t>
                  </w:r>
                </w:p>
              </w:tc>
            </w:tr>
            <w:tr w:rsidR="007E5173" w:rsidTr="004065B5">
              <w:trPr>
                <w:trHeight w:val="305"/>
              </w:trPr>
              <w:tc>
                <w:tcPr>
                  <w:tcW w:w="2820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>Cíl pro rok 2020</w:t>
                  </w:r>
                </w:p>
              </w:tc>
              <w:tc>
                <w:tcPr>
                  <w:tcW w:w="2268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14BBF">
                    <w:rPr>
                      <w:sz w:val="18"/>
                      <w:szCs w:val="18"/>
                      <w:lang w:val="en-US"/>
                    </w:rPr>
                    <w:t>&gt; 60 %</w:t>
                  </w:r>
                </w:p>
              </w:tc>
            </w:tr>
            <w:tr w:rsidR="007E5173" w:rsidTr="004065B5">
              <w:trPr>
                <w:trHeight w:val="183"/>
              </w:trPr>
              <w:tc>
                <w:tcPr>
                  <w:tcW w:w="2820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>Cíl pro rok 2021 (do 14. srpna 2021)</w:t>
                  </w:r>
                </w:p>
              </w:tc>
              <w:tc>
                <w:tcPr>
                  <w:tcW w:w="2268" w:type="dxa"/>
                  <w:noWrap/>
                  <w:vAlign w:val="center"/>
                </w:tcPr>
                <w:p w:rsidR="00314D96" w:rsidRPr="00A14BBF" w:rsidRDefault="008C12E6" w:rsidP="001C1AF2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14BBF">
                    <w:rPr>
                      <w:sz w:val="18"/>
                      <w:szCs w:val="18"/>
                    </w:rPr>
                    <w:t>65 % (</w:t>
                  </w:r>
                  <w:proofErr w:type="gramStart"/>
                  <w:r w:rsidRPr="00A14BBF">
                    <w:rPr>
                      <w:sz w:val="18"/>
                      <w:szCs w:val="18"/>
                    </w:rPr>
                    <w:t>85%</w:t>
                  </w:r>
                  <w:proofErr w:type="gramEnd"/>
                  <w:r w:rsidRPr="00A14BBF">
                    <w:rPr>
                      <w:sz w:val="18"/>
                      <w:szCs w:val="18"/>
                    </w:rPr>
                    <w:t xml:space="preserve"> produkovaného)</w:t>
                  </w:r>
                </w:p>
              </w:tc>
            </w:tr>
          </w:tbl>
          <w:p w:rsidR="00314D96" w:rsidRPr="00A14BBF" w:rsidRDefault="00314D96" w:rsidP="001C1AF2">
            <w:pPr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14D96" w:rsidRPr="00A14BBF" w:rsidRDefault="008C12E6" w:rsidP="00F721C1">
            <w:pPr>
              <w:tabs>
                <w:tab w:val="left" w:pos="1068"/>
              </w:tabs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p w:rsidR="00BE4031" w:rsidRPr="00A14BBF" w:rsidRDefault="008C12E6" w:rsidP="00BE4031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</w:t>
            </w:r>
            <w:r w:rsidR="00607C83" w:rsidRPr="00A14BBF">
              <w:rPr>
                <w:rFonts w:cstheme="minorHAnsi"/>
                <w:b/>
              </w:rPr>
              <w:t>.</w:t>
            </w:r>
            <w:r w:rsidRPr="00A14BBF">
              <w:rPr>
                <w:rFonts w:cstheme="minorHAnsi"/>
                <w:b/>
              </w:rPr>
              <w:t xml:space="preserve"> </w:t>
            </w:r>
          </w:p>
          <w:p w:rsidR="001824DE" w:rsidRPr="00A14BBF" w:rsidRDefault="008C12E6" w:rsidP="009E10B9">
            <w:pPr>
              <w:spacing w:after="120" w:line="276" w:lineRule="auto"/>
              <w:rPr>
                <w:rFonts w:cs="Calibri"/>
                <w:color w:val="000000"/>
              </w:rPr>
            </w:pPr>
            <w:r w:rsidRPr="00A14BBF">
              <w:rPr>
                <w:color w:val="000000" w:themeColor="text1"/>
              </w:rPr>
              <w:t xml:space="preserve">Úroveň zpětného odběru elektrozařízení a odděleného sběru elektroodpadů v meziročním srovnání </w:t>
            </w:r>
            <w:r w:rsidR="00C1329D" w:rsidRPr="00A14BBF">
              <w:rPr>
                <w:color w:val="000000" w:themeColor="text1"/>
              </w:rPr>
              <w:t>2019–2020</w:t>
            </w:r>
            <w:r w:rsidRPr="00A14BBF">
              <w:rPr>
                <w:color w:val="000000" w:themeColor="text1"/>
              </w:rPr>
              <w:t xml:space="preserve"> se mírně zvýšila, v roce 2019 byla 54,2 % a v roce 2020 byla 57 %. Cíl pro rok 2019 (</w:t>
            </w:r>
            <w:r w:rsidRPr="00A14BBF">
              <w:rPr>
                <w:rFonts w:cstheme="minorHAnsi"/>
                <w:bCs/>
                <w:color w:val="000000" w:themeColor="text1"/>
              </w:rPr>
              <w:t>&gt; 5</w:t>
            </w:r>
            <w:r w:rsidRPr="00A14BBF">
              <w:rPr>
                <w:color w:val="000000" w:themeColor="text1"/>
              </w:rPr>
              <w:t>5 %) byl plněn částečně. Cíl pro rok 2020 (</w:t>
            </w:r>
            <w:r w:rsidRPr="00A14BBF">
              <w:rPr>
                <w:rFonts w:cstheme="minorHAnsi"/>
                <w:bCs/>
                <w:color w:val="000000" w:themeColor="text1"/>
              </w:rPr>
              <w:t>&gt; 60</w:t>
            </w:r>
            <w:r w:rsidRPr="00A14BBF">
              <w:rPr>
                <w:color w:val="000000" w:themeColor="text1"/>
              </w:rPr>
              <w:t xml:space="preserve"> %) byl plněn čás</w:t>
            </w:r>
            <w:r w:rsidRPr="00A14BBF">
              <w:rPr>
                <w:color w:val="000000" w:themeColor="text1"/>
              </w:rPr>
              <w:t xml:space="preserve">tečně. Cílů se téměř podařilo dosáhnout, v roce 2020 chyběly 3 </w:t>
            </w:r>
            <w:proofErr w:type="spellStart"/>
            <w:r w:rsidRPr="00A14BBF">
              <w:rPr>
                <w:color w:val="000000" w:themeColor="text1"/>
              </w:rPr>
              <w:t>p.b</w:t>
            </w:r>
            <w:proofErr w:type="spellEnd"/>
            <w:r w:rsidRPr="00A14BBF">
              <w:rPr>
                <w:color w:val="000000" w:themeColor="text1"/>
              </w:rPr>
              <w:t>.</w:t>
            </w:r>
          </w:p>
        </w:tc>
      </w:tr>
    </w:tbl>
    <w:p w:rsidR="00591BA0" w:rsidRPr="00A14BBF" w:rsidRDefault="00591BA0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t>3.3.1.6.2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E1BE6" w:rsidRPr="00A14BBF" w:rsidRDefault="008C12E6" w:rsidP="001C1AF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Zajistit vysokou míru využití, recyklace a přípravy k opětovnému použití elektroodpadu.</w:t>
            </w: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5CBA" w:rsidRPr="00A14BBF" w:rsidRDefault="008C12E6" w:rsidP="00335CBA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</w:t>
            </w:r>
            <w:r w:rsidR="00607C83" w:rsidRPr="00A14BBF">
              <w:rPr>
                <w:rFonts w:cstheme="minorHAnsi"/>
                <w:b/>
              </w:rPr>
              <w:t>.</w:t>
            </w:r>
            <w:r w:rsidRPr="00A14BBF">
              <w:rPr>
                <w:rFonts w:cstheme="minorHAnsi"/>
                <w:b/>
              </w:rPr>
              <w:t xml:space="preserve"> </w:t>
            </w:r>
          </w:p>
          <w:p w:rsidR="00B53F75" w:rsidRPr="00A14BBF" w:rsidRDefault="008C12E6" w:rsidP="0010300A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cstheme="minorHAnsi"/>
              </w:rPr>
              <w:t xml:space="preserve">V letech </w:t>
            </w:r>
            <w:r w:rsidR="00C1329D" w:rsidRPr="00A14BBF">
              <w:rPr>
                <w:rFonts w:cstheme="minorHAnsi"/>
              </w:rPr>
              <w:t>2019–2020</w:t>
            </w:r>
            <w:r w:rsidRPr="00A14BBF">
              <w:rPr>
                <w:rFonts w:cstheme="minorHAnsi"/>
              </w:rPr>
              <w:t xml:space="preserve"> bylo dosaženo vysoké míry využití</w:t>
            </w:r>
            <w:r w:rsidR="00D446D5" w:rsidRPr="00A14BBF">
              <w:rPr>
                <w:rFonts w:cstheme="minorHAnsi"/>
              </w:rPr>
              <w:t xml:space="preserve"> (okolo </w:t>
            </w:r>
            <w:r w:rsidR="009A46B2" w:rsidRPr="00A14BBF">
              <w:rPr>
                <w:rFonts w:cstheme="minorHAnsi"/>
              </w:rPr>
              <w:t>90</w:t>
            </w:r>
            <w:r w:rsidR="00D446D5" w:rsidRPr="00A14BBF">
              <w:rPr>
                <w:rFonts w:cstheme="minorHAnsi"/>
              </w:rPr>
              <w:t xml:space="preserve"> %)</w:t>
            </w:r>
            <w:r w:rsidRPr="00A14BBF">
              <w:rPr>
                <w:rFonts w:cstheme="minorHAnsi"/>
              </w:rPr>
              <w:t xml:space="preserve"> recyklace a</w:t>
            </w:r>
            <w:r w:rsidR="00FD186B" w:rsidRPr="00A14BBF">
              <w:rPr>
                <w:rFonts w:cstheme="minorHAnsi"/>
              </w:rPr>
              <w:t> </w:t>
            </w:r>
            <w:r w:rsidRPr="00A14BBF">
              <w:rPr>
                <w:rFonts w:cstheme="minorHAnsi"/>
              </w:rPr>
              <w:t xml:space="preserve">přípravy k opětovnému použití </w:t>
            </w:r>
            <w:r w:rsidR="00D446D5" w:rsidRPr="00A14BBF">
              <w:rPr>
                <w:rFonts w:cstheme="minorHAnsi"/>
              </w:rPr>
              <w:t>(okolo 8</w:t>
            </w:r>
            <w:r w:rsidR="009A46B2" w:rsidRPr="00A14BBF">
              <w:rPr>
                <w:rFonts w:cstheme="minorHAnsi"/>
              </w:rPr>
              <w:t>5</w:t>
            </w:r>
            <w:r w:rsidR="00D446D5" w:rsidRPr="00A14BBF">
              <w:rPr>
                <w:rFonts w:cstheme="minorHAnsi"/>
              </w:rPr>
              <w:t xml:space="preserve"> %) </w:t>
            </w:r>
            <w:r w:rsidRPr="00A14BBF">
              <w:rPr>
                <w:rFonts w:cstheme="minorHAnsi"/>
              </w:rPr>
              <w:t xml:space="preserve">elektroodpadu ve </w:t>
            </w:r>
            <w:r w:rsidRPr="00A14BBF">
              <w:rPr>
                <w:rFonts w:cstheme="minorHAnsi"/>
                <w:bCs/>
              </w:rPr>
              <w:t xml:space="preserve">všech skupinách elektrozařízení. </w:t>
            </w:r>
          </w:p>
        </w:tc>
      </w:tr>
    </w:tbl>
    <w:p w:rsidR="000231E5" w:rsidRPr="00A14BBF" w:rsidRDefault="000231E5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9F256E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t>3.3.1.6.2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E1BE6" w:rsidRPr="00A14BBF" w:rsidRDefault="008C12E6" w:rsidP="00607C83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 xml:space="preserve">V letech </w:t>
            </w:r>
            <w:r w:rsidR="00C1329D" w:rsidRPr="00A14BBF">
              <w:rPr>
                <w:rFonts w:cstheme="minorHAnsi"/>
                <w:b/>
                <w:color w:val="000000"/>
              </w:rPr>
              <w:t>2015</w:t>
            </w:r>
            <w:r w:rsidR="00C1329D">
              <w:rPr>
                <w:rFonts w:cstheme="minorHAnsi"/>
                <w:b/>
                <w:color w:val="000000"/>
              </w:rPr>
              <w:t>–2018</w:t>
            </w:r>
            <w:r w:rsidRPr="00A14BBF">
              <w:rPr>
                <w:rFonts w:cstheme="minorHAnsi"/>
                <w:b/>
                <w:color w:val="000000"/>
              </w:rPr>
              <w:t xml:space="preserve"> dosáhnout požadovaných </w:t>
            </w:r>
            <w:r w:rsidR="00607C83" w:rsidRPr="00A14BBF">
              <w:rPr>
                <w:rFonts w:cstheme="minorHAnsi"/>
                <w:b/>
                <w:color w:val="000000"/>
              </w:rPr>
              <w:t>procent</w:t>
            </w:r>
            <w:r w:rsidRPr="00A14BBF">
              <w:rPr>
                <w:rFonts w:cstheme="minorHAnsi"/>
                <w:b/>
                <w:color w:val="000000"/>
              </w:rPr>
              <w:t xml:space="preserve"> využití, recyklace a </w:t>
            </w:r>
            <w:r w:rsidRPr="00A14BBF">
              <w:rPr>
                <w:b/>
              </w:rPr>
              <w:t xml:space="preserve">přípravy k </w:t>
            </w:r>
            <w:r w:rsidRPr="00A14BBF">
              <w:rPr>
                <w:b/>
              </w:rPr>
              <w:t>opětovnému</w:t>
            </w:r>
            <w:r w:rsidRPr="00A14BBF">
              <w:rPr>
                <w:rFonts w:cstheme="minorHAnsi"/>
                <w:b/>
                <w:color w:val="000000"/>
              </w:rPr>
              <w:t xml:space="preserve"> použití z celkové hmotnosti zpracovávaného elektroodpadu na sebraných </w:t>
            </w:r>
            <w:r w:rsidRPr="00A14BBF">
              <w:rPr>
                <w:b/>
              </w:rPr>
              <w:t>odpadních elektrických a elektronických zařízeních</w:t>
            </w:r>
            <w:r w:rsidR="00740D68" w:rsidRPr="00A14BBF">
              <w:rPr>
                <w:b/>
              </w:rPr>
              <w:t>,</w:t>
            </w:r>
            <w:r w:rsidRPr="00A14BBF">
              <w:rPr>
                <w:b/>
              </w:rPr>
              <w:t xml:space="preserve"> </w:t>
            </w:r>
            <w:r w:rsidRPr="00A14BBF">
              <w:rPr>
                <w:rFonts w:cstheme="minorHAnsi"/>
                <w:b/>
                <w:color w:val="000000"/>
              </w:rPr>
              <w:t>viz tabulka</w:t>
            </w:r>
            <w:r w:rsidR="000E5960" w:rsidRPr="00A14BBF">
              <w:rPr>
                <w:rFonts w:cstheme="minorHAnsi"/>
                <w:b/>
                <w:color w:val="000000"/>
              </w:rPr>
              <w:t xml:space="preserve">: </w:t>
            </w:r>
          </w:p>
        </w:tc>
      </w:tr>
      <w:tr w:rsidR="007E5173" w:rsidTr="009F256E">
        <w:trPr>
          <w:trHeight w:val="5586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731A" w:rsidRPr="00A14BBF" w:rsidRDefault="00FF731A" w:rsidP="001C1A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731A" w:rsidRPr="00A14BBF" w:rsidRDefault="00FF731A" w:rsidP="001C1AF2">
            <w:pPr>
              <w:spacing w:line="276" w:lineRule="auto"/>
              <w:rPr>
                <w:rFonts w:cstheme="minorHAnsi"/>
              </w:rPr>
            </w:pPr>
          </w:p>
          <w:tbl>
            <w:tblPr>
              <w:tblW w:w="59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28"/>
              <w:gridCol w:w="1560"/>
              <w:gridCol w:w="1984"/>
            </w:tblGrid>
            <w:tr w:rsidR="007E5173" w:rsidTr="00A31646">
              <w:trPr>
                <w:cantSplit/>
                <w:trHeight w:val="285"/>
              </w:trPr>
              <w:tc>
                <w:tcPr>
                  <w:tcW w:w="2428" w:type="dxa"/>
                  <w:vMerge w:val="restart"/>
                  <w:noWrap/>
                </w:tcPr>
                <w:p w:rsidR="00AE7FFB" w:rsidRPr="00A14BBF" w:rsidRDefault="00AE7FFB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gridSpan w:val="2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Cíle </w:t>
                  </w:r>
                </w:p>
              </w:tc>
            </w:tr>
            <w:tr w:rsidR="007E5173" w:rsidTr="00A31646">
              <w:trPr>
                <w:cantSplit/>
                <w:trHeight w:val="285"/>
              </w:trPr>
              <w:tc>
                <w:tcPr>
                  <w:tcW w:w="2428" w:type="dxa"/>
                  <w:vMerge/>
                </w:tcPr>
                <w:p w:rsidR="00AE7FFB" w:rsidRPr="00A14BBF" w:rsidRDefault="00AE7FFB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Využití</w:t>
                  </w:r>
                </w:p>
              </w:tc>
              <w:tc>
                <w:tcPr>
                  <w:tcW w:w="1984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Recyklace a příprava k opětovnému použití 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1.   Velké domácí spotřebiče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85 %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2.   </w:t>
                  </w: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Malé domácí spotřebiče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3.   Zařízení IT+ </w:t>
                  </w:r>
                </w:p>
                <w:p w:rsidR="00AE7FFB" w:rsidRPr="00A14BBF" w:rsidRDefault="008C12E6" w:rsidP="002F7B50">
                  <w:pPr>
                    <w:spacing w:line="276" w:lineRule="auto"/>
                    <w:ind w:left="276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telekomunikační zařízení</w:t>
                  </w:r>
                </w:p>
              </w:tc>
              <w:tc>
                <w:tcPr>
                  <w:tcW w:w="1560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70 %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4.   Spotřebitelská zařízení</w:t>
                  </w:r>
                </w:p>
              </w:tc>
              <w:tc>
                <w:tcPr>
                  <w:tcW w:w="1560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70 %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5.   Osvětlovací zařízení</w:t>
                  </w:r>
                </w:p>
              </w:tc>
              <w:tc>
                <w:tcPr>
                  <w:tcW w:w="1560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5a</w:t>
                  </w:r>
                  <w:proofErr w:type="gramEnd"/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. výbojky</w:t>
                  </w:r>
                </w:p>
              </w:tc>
              <w:tc>
                <w:tcPr>
                  <w:tcW w:w="1560" w:type="dxa"/>
                  <w:noWrap/>
                  <w:vAlign w:val="center"/>
                </w:tcPr>
                <w:p w:rsidR="00AE7FFB" w:rsidRPr="00A14BBF" w:rsidRDefault="00AE7FFB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80 %*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6.   Nástroje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  <w:tr w:rsidR="007E5173" w:rsidTr="00A31646">
              <w:trPr>
                <w:trHeight w:val="300"/>
              </w:trPr>
              <w:tc>
                <w:tcPr>
                  <w:tcW w:w="2428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7.   Hračky a sport</w:t>
                  </w:r>
                </w:p>
              </w:tc>
              <w:tc>
                <w:tcPr>
                  <w:tcW w:w="1560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  <w:tr w:rsidR="007E5173" w:rsidTr="00A31646">
              <w:trPr>
                <w:trHeight w:val="292"/>
              </w:trPr>
              <w:tc>
                <w:tcPr>
                  <w:tcW w:w="2428" w:type="dxa"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8.   Lékařské </w:t>
                  </w: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přístroje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  <w:tr w:rsidR="007E5173" w:rsidTr="00A31646">
              <w:trPr>
                <w:trHeight w:val="282"/>
              </w:trPr>
              <w:tc>
                <w:tcPr>
                  <w:tcW w:w="2428" w:type="dxa"/>
                </w:tcPr>
                <w:p w:rsidR="00AE7FFB" w:rsidRPr="00A14BBF" w:rsidRDefault="008C12E6" w:rsidP="001C1AF2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9.   Přístroje pro </w:t>
                  </w:r>
                </w:p>
                <w:p w:rsidR="00AE7FFB" w:rsidRPr="00A14BBF" w:rsidRDefault="008C12E6" w:rsidP="002F7B50">
                  <w:pPr>
                    <w:spacing w:line="276" w:lineRule="auto"/>
                    <w:ind w:left="276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monitorování a kontrolu</w:t>
                  </w:r>
                </w:p>
              </w:tc>
              <w:tc>
                <w:tcPr>
                  <w:tcW w:w="1560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  <w:tr w:rsidR="007E5173" w:rsidTr="00A31646">
              <w:trPr>
                <w:trHeight w:val="315"/>
              </w:trPr>
              <w:tc>
                <w:tcPr>
                  <w:tcW w:w="2428" w:type="dxa"/>
                  <w:noWrap/>
                </w:tcPr>
                <w:p w:rsidR="00AE7FFB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10. Výdejní automaty</w:t>
                  </w:r>
                </w:p>
              </w:tc>
              <w:tc>
                <w:tcPr>
                  <w:tcW w:w="1560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85 %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AE7FFB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</w:t>
                  </w:r>
                </w:p>
              </w:tc>
            </w:tr>
          </w:tbl>
          <w:p w:rsidR="000E5960" w:rsidRPr="00A14BBF" w:rsidRDefault="000E5960" w:rsidP="001C1AF2">
            <w:pPr>
              <w:spacing w:line="276" w:lineRule="auto"/>
              <w:rPr>
                <w:rFonts w:cstheme="minorHAnsi"/>
              </w:rPr>
            </w:pPr>
          </w:p>
        </w:tc>
      </w:tr>
      <w:tr w:rsidR="007E5173" w:rsidTr="009F256E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731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BC5" w:rsidRPr="00A14BBF" w:rsidRDefault="008C12E6" w:rsidP="00356BC5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Cíl </w:t>
            </w:r>
            <w:r w:rsidR="009F256E" w:rsidRPr="00A14BBF">
              <w:rPr>
                <w:rFonts w:cstheme="minorHAnsi"/>
                <w:b/>
              </w:rPr>
              <w:t xml:space="preserve">nehodnocen. </w:t>
            </w:r>
            <w:r w:rsidRPr="00A14BBF">
              <w:rPr>
                <w:rFonts w:cstheme="minorHAnsi"/>
                <w:b/>
              </w:rPr>
              <w:t xml:space="preserve"> </w:t>
            </w:r>
          </w:p>
          <w:p w:rsidR="001824DE" w:rsidRPr="00A14BBF" w:rsidRDefault="008C12E6" w:rsidP="009F256E">
            <w:pPr>
              <w:spacing w:line="276" w:lineRule="auto"/>
              <w:rPr>
                <w:rFonts w:cstheme="minorHAnsi"/>
              </w:rPr>
            </w:pPr>
            <w:r w:rsidRPr="00A14BBF">
              <w:rPr>
                <w:bCs/>
              </w:rPr>
              <w:t xml:space="preserve">Cíl byl stanoven do roku 2018 a již byl vyhodnocen. V letech </w:t>
            </w:r>
            <w:r w:rsidR="00C1329D" w:rsidRPr="00A14BBF">
              <w:rPr>
                <w:bCs/>
              </w:rPr>
              <w:t>2019</w:t>
            </w:r>
            <w:r w:rsidR="00C1329D">
              <w:rPr>
                <w:bCs/>
              </w:rPr>
              <w:t>–2020</w:t>
            </w:r>
            <w:r w:rsidRPr="00A14BBF">
              <w:rPr>
                <w:bCs/>
              </w:rPr>
              <w:t xml:space="preserve"> již cíl není relevantní. </w:t>
            </w:r>
          </w:p>
        </w:tc>
      </w:tr>
    </w:tbl>
    <w:p w:rsidR="000231E5" w:rsidRPr="00A14BBF" w:rsidRDefault="000231E5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21.</w:t>
            </w:r>
          </w:p>
        </w:tc>
        <w:tc>
          <w:tcPr>
            <w:tcW w:w="1134" w:type="dxa"/>
            <w:vAlign w:val="center"/>
          </w:tcPr>
          <w:p w:rsidR="002E1BE6" w:rsidRPr="00A14BBF" w:rsidRDefault="008C12E6" w:rsidP="001C1AF2">
            <w:pPr>
              <w:spacing w:line="276" w:lineRule="auto"/>
              <w:jc w:val="center"/>
            </w:pPr>
            <w:r w:rsidRPr="00A14BBF">
              <w:t>3.3.1.6.2</w:t>
            </w:r>
          </w:p>
        </w:tc>
        <w:tc>
          <w:tcPr>
            <w:tcW w:w="5386" w:type="dxa"/>
            <w:vAlign w:val="center"/>
          </w:tcPr>
          <w:p w:rsidR="002E1BE6" w:rsidRPr="00A14BBF" w:rsidRDefault="008C12E6" w:rsidP="00A05915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 xml:space="preserve">Od roku 2018 dosáhnout požadované míry (%) využití, recyklace a </w:t>
            </w:r>
            <w:r w:rsidRPr="00A14BBF">
              <w:rPr>
                <w:rFonts w:cstheme="minorHAnsi"/>
                <w:b/>
              </w:rPr>
              <w:t xml:space="preserve">přípravy k opětovnému </w:t>
            </w:r>
            <w:r w:rsidRPr="00A14BBF">
              <w:rPr>
                <w:b/>
              </w:rPr>
              <w:t xml:space="preserve">použití na celkové hmotnosti zpracovávaného elektroodpadu </w:t>
            </w:r>
            <w:r w:rsidRPr="00A14BBF">
              <w:rPr>
                <w:rFonts w:cstheme="minorHAnsi"/>
                <w:b/>
              </w:rPr>
              <w:t xml:space="preserve">(sebraných </w:t>
            </w:r>
            <w:r w:rsidRPr="00A14BBF">
              <w:rPr>
                <w:b/>
              </w:rPr>
              <w:t>odpadních elektrických a</w:t>
            </w:r>
            <w:r w:rsidR="00A05915" w:rsidRPr="00A14BBF">
              <w:rPr>
                <w:b/>
              </w:rPr>
              <w:t> </w:t>
            </w:r>
            <w:r w:rsidRPr="00A14BBF">
              <w:rPr>
                <w:b/>
              </w:rPr>
              <w:t>elektronických zařízení</w:t>
            </w:r>
            <w:r w:rsidRPr="00A14BBF">
              <w:rPr>
                <w:rFonts w:cstheme="minorHAnsi"/>
                <w:b/>
              </w:rPr>
              <w:t>)</w:t>
            </w:r>
            <w:r w:rsidR="00740D68" w:rsidRPr="00A14BBF">
              <w:rPr>
                <w:rFonts w:cstheme="minorHAnsi"/>
                <w:b/>
              </w:rPr>
              <w:t>,</w:t>
            </w:r>
            <w:r w:rsidRPr="00A14BBF">
              <w:rPr>
                <w:b/>
              </w:rPr>
              <w:t xml:space="preserve"> viz tabulka</w:t>
            </w:r>
            <w:r w:rsidR="000E5960" w:rsidRPr="00A14BBF">
              <w:rPr>
                <w:b/>
              </w:rPr>
              <w:t>:</w:t>
            </w: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</w:tcPr>
          <w:p w:rsidR="002E1BE6" w:rsidRPr="00A14BBF" w:rsidRDefault="002E1BE6" w:rsidP="001C1A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p w:rsidR="00D63EFE" w:rsidRPr="00A14BBF" w:rsidRDefault="00D63EFE" w:rsidP="001C1AF2">
            <w:pPr>
              <w:spacing w:line="276" w:lineRule="auto"/>
            </w:pPr>
          </w:p>
          <w:tbl>
            <w:tblPr>
              <w:tblW w:w="63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29"/>
              <w:gridCol w:w="851"/>
              <w:gridCol w:w="1984"/>
            </w:tblGrid>
            <w:tr w:rsidR="007E5173" w:rsidTr="004065B5">
              <w:trPr>
                <w:cantSplit/>
                <w:trHeight w:val="355"/>
              </w:trPr>
              <w:tc>
                <w:tcPr>
                  <w:tcW w:w="3529" w:type="dxa"/>
                  <w:vMerge w:val="restart"/>
                  <w:noWrap/>
                </w:tcPr>
                <w:p w:rsidR="00D63EFE" w:rsidRPr="00A14BBF" w:rsidRDefault="00D63EFE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Cíle od 15. </w:t>
                  </w: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srpna 2018**</w:t>
                  </w:r>
                </w:p>
              </w:tc>
            </w:tr>
            <w:tr w:rsidR="007E5173" w:rsidTr="004065B5">
              <w:trPr>
                <w:cantSplit/>
                <w:trHeight w:val="285"/>
              </w:trPr>
              <w:tc>
                <w:tcPr>
                  <w:tcW w:w="3529" w:type="dxa"/>
                  <w:vMerge/>
                </w:tcPr>
                <w:p w:rsidR="00D63EFE" w:rsidRPr="00A14BBF" w:rsidRDefault="00D63EFE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Využití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Recyklace a příprava k opětovnému použití </w:t>
                  </w:r>
                </w:p>
              </w:tc>
            </w:tr>
            <w:tr w:rsidR="007E5173" w:rsidTr="004065B5">
              <w:trPr>
                <w:trHeight w:val="300"/>
              </w:trPr>
              <w:tc>
                <w:tcPr>
                  <w:tcW w:w="3529" w:type="dxa"/>
                </w:tcPr>
                <w:p w:rsidR="00D63EFE" w:rsidRPr="00A14BBF" w:rsidRDefault="008C12E6" w:rsidP="001C1AF2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1.  Zařízení pro tepelnou výměnu</w:t>
                  </w:r>
                </w:p>
              </w:tc>
              <w:tc>
                <w:tcPr>
                  <w:tcW w:w="851" w:type="dxa"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85 %</w:t>
                  </w:r>
                </w:p>
              </w:tc>
              <w:tc>
                <w:tcPr>
                  <w:tcW w:w="1984" w:type="dxa"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</w:t>
                  </w:r>
                </w:p>
              </w:tc>
            </w:tr>
            <w:tr w:rsidR="007E5173" w:rsidTr="004065B5">
              <w:trPr>
                <w:trHeight w:val="300"/>
              </w:trPr>
              <w:tc>
                <w:tcPr>
                  <w:tcW w:w="3529" w:type="dxa"/>
                </w:tcPr>
                <w:p w:rsidR="00D63EFE" w:rsidRPr="00A14BBF" w:rsidRDefault="008C12E6" w:rsidP="001C1AF2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2. Obrazovky, monitory a zařízení obsahující obrazovky o ploše větší než 100 cm</w:t>
                  </w:r>
                  <w:r w:rsidRPr="00A14BBF">
                    <w:rPr>
                      <w:rFonts w:cs="Calibri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</w:t>
                  </w:r>
                </w:p>
              </w:tc>
              <w:tc>
                <w:tcPr>
                  <w:tcW w:w="1984" w:type="dxa"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70 %</w:t>
                  </w:r>
                </w:p>
              </w:tc>
            </w:tr>
            <w:tr w:rsidR="007E5173" w:rsidTr="004065B5">
              <w:trPr>
                <w:trHeight w:val="300"/>
              </w:trPr>
              <w:tc>
                <w:tcPr>
                  <w:tcW w:w="3529" w:type="dxa"/>
                  <w:noWrap/>
                </w:tcPr>
                <w:p w:rsidR="00D63EFE" w:rsidRPr="00A14BBF" w:rsidRDefault="008C12E6" w:rsidP="001C1AF2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3. Světelné zdroje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D63EFE" w:rsidRPr="00A14BBF" w:rsidRDefault="00D63EFE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80 %*</w:t>
                  </w:r>
                </w:p>
              </w:tc>
            </w:tr>
            <w:tr w:rsidR="007E5173" w:rsidTr="004065B5">
              <w:trPr>
                <w:trHeight w:val="300"/>
              </w:trPr>
              <w:tc>
                <w:tcPr>
                  <w:tcW w:w="3529" w:type="dxa"/>
                  <w:noWrap/>
                </w:tcPr>
                <w:p w:rsidR="00D63EFE" w:rsidRPr="00A14BBF" w:rsidRDefault="008C12E6" w:rsidP="001C1AF2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4. Velká zařízení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85 %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 xml:space="preserve">80 </w:t>
                  </w: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7E5173" w:rsidTr="004065B5">
              <w:trPr>
                <w:trHeight w:val="300"/>
              </w:trPr>
              <w:tc>
                <w:tcPr>
                  <w:tcW w:w="3529" w:type="dxa"/>
                  <w:noWrap/>
                </w:tcPr>
                <w:p w:rsidR="00D63EFE" w:rsidRPr="00A14BBF" w:rsidRDefault="008C12E6" w:rsidP="001C1AF2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5. Malá zařízení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  <w:tr w:rsidR="007E5173" w:rsidTr="004065B5">
              <w:trPr>
                <w:trHeight w:val="300"/>
              </w:trPr>
              <w:tc>
                <w:tcPr>
                  <w:tcW w:w="3529" w:type="dxa"/>
                  <w:noWrap/>
                </w:tcPr>
                <w:p w:rsidR="00D63EFE" w:rsidRPr="00A14BBF" w:rsidRDefault="008C12E6" w:rsidP="001C1AF2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6. Malá zařízení informačních technologií a telekomunikační zařízení (žádný vnější rozměr není větší než 50 cm)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1984" w:type="dxa"/>
                  <w:noWrap/>
                  <w:vAlign w:val="center"/>
                </w:tcPr>
                <w:p w:rsidR="00D63EFE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55 %</w:t>
                  </w:r>
                </w:p>
              </w:tc>
            </w:tr>
          </w:tbl>
          <w:p w:rsidR="00D63EFE" w:rsidRPr="00A14BBF" w:rsidRDefault="008C12E6" w:rsidP="001C1AF2">
            <w:pPr>
              <w:spacing w:line="276" w:lineRule="auto"/>
              <w:rPr>
                <w:rFonts w:cs="Calibri"/>
                <w:color w:val="000000"/>
                <w:sz w:val="18"/>
                <w:szCs w:val="20"/>
              </w:rPr>
            </w:pPr>
            <w:r w:rsidRPr="00A14BBF">
              <w:rPr>
                <w:rFonts w:cs="Calibri"/>
                <w:sz w:val="18"/>
              </w:rPr>
              <w:t xml:space="preserve">* </w:t>
            </w:r>
            <w:r w:rsidRPr="00A14BBF">
              <w:rPr>
                <w:rFonts w:cs="Calibri"/>
                <w:color w:val="000000"/>
                <w:sz w:val="18"/>
                <w:szCs w:val="20"/>
              </w:rPr>
              <w:t>(v případě výbojek výhradně recyklace)</w:t>
            </w:r>
          </w:p>
          <w:p w:rsidR="00B74A72" w:rsidRPr="00A14BBF" w:rsidRDefault="00B74A72" w:rsidP="001C1AF2">
            <w:pPr>
              <w:spacing w:line="276" w:lineRule="auto"/>
            </w:pP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F731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lastRenderedPageBreak/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p w:rsidR="003526A0" w:rsidRPr="00A14BBF" w:rsidRDefault="008C12E6" w:rsidP="00ED19CC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</w:t>
            </w:r>
            <w:r w:rsidR="00356BC5" w:rsidRPr="00A14BBF">
              <w:rPr>
                <w:rFonts w:cstheme="minorHAnsi"/>
                <w:b/>
              </w:rPr>
              <w:t xml:space="preserve"> </w:t>
            </w:r>
            <w:r w:rsidRPr="00A14BBF">
              <w:rPr>
                <w:rFonts w:cstheme="minorHAnsi"/>
                <w:b/>
              </w:rPr>
              <w:t xml:space="preserve">plněn. </w:t>
            </w:r>
          </w:p>
          <w:p w:rsidR="003526A0" w:rsidRPr="00A14BBF" w:rsidRDefault="008C12E6" w:rsidP="00EB54AE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bCs/>
              </w:rPr>
              <w:t xml:space="preserve">V letech 2019 a </w:t>
            </w:r>
            <w:r w:rsidRPr="00A14BBF">
              <w:rPr>
                <w:bCs/>
              </w:rPr>
              <w:t>2020 všechny stanovené cíle pro využití, recyklaci a</w:t>
            </w:r>
            <w:r w:rsidR="006F1971" w:rsidRPr="00A14BBF">
              <w:rPr>
                <w:bCs/>
              </w:rPr>
              <w:t> </w:t>
            </w:r>
            <w:r w:rsidRPr="00A14BBF">
              <w:rPr>
                <w:bCs/>
              </w:rPr>
              <w:t xml:space="preserve">opětovného použití ve všech skupinách elektrozařízení (1. až 6. skupina) </w:t>
            </w:r>
            <w:r w:rsidR="00EB54AE" w:rsidRPr="00A14BBF">
              <w:rPr>
                <w:bCs/>
              </w:rPr>
              <w:t>byly plněny. B</w:t>
            </w:r>
            <w:r w:rsidR="00EB54AE" w:rsidRPr="00A14BBF">
              <w:rPr>
                <w:rFonts w:cstheme="minorHAnsi"/>
              </w:rPr>
              <w:t>ylo dosaženo vysoké míry využití (okolo 90 %) recyklace a přípravy k opětovnému použití (okolo 85 %)</w:t>
            </w:r>
            <w:r w:rsidRPr="00A14BBF">
              <w:rPr>
                <w:bCs/>
              </w:rPr>
              <w:t>.</w:t>
            </w:r>
          </w:p>
        </w:tc>
      </w:tr>
    </w:tbl>
    <w:p w:rsidR="00544D7E" w:rsidRPr="00A14BBF" w:rsidRDefault="00544D7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t>3.3.1.6.3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272C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</w:rPr>
              <w:t>Zvýšit úroveň tříděného sběru odpadních přenosných baterií a akumulátorů.</w:t>
            </w: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4B1" w:rsidRPr="00A14BBF" w:rsidRDefault="008C12E6" w:rsidP="001754B1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Cíl plněn. </w:t>
            </w:r>
          </w:p>
          <w:p w:rsidR="00432589" w:rsidRPr="00A14BBF" w:rsidRDefault="008C12E6" w:rsidP="00F9782D">
            <w:pPr>
              <w:spacing w:after="120" w:line="276" w:lineRule="auto"/>
              <w:rPr>
                <w:rFonts w:cstheme="minorHAnsi"/>
                <w:b/>
                <w:color w:val="FF0000"/>
              </w:rPr>
            </w:pPr>
            <w:r w:rsidRPr="00A14BBF">
              <w:t>Úroveň zpětného odběru a sběru</w:t>
            </w:r>
            <w:r w:rsidRPr="00A14BBF">
              <w:rPr>
                <w:b/>
              </w:rPr>
              <w:t xml:space="preserve"> </w:t>
            </w:r>
            <w:r w:rsidRPr="00A14BBF">
              <w:t xml:space="preserve">přenosných baterií a akumulátorů v letech </w:t>
            </w:r>
            <w:r w:rsidR="00C1329D" w:rsidRPr="00A14BBF">
              <w:t>2019–2020</w:t>
            </w:r>
            <w:r w:rsidRPr="00A14BBF">
              <w:t xml:space="preserve"> velmi mírně poklesla o 0,8 %</w:t>
            </w:r>
            <w:r w:rsidR="00F9782D" w:rsidRPr="00A14BBF">
              <w:t>.</w:t>
            </w:r>
            <w:r w:rsidRPr="00A14BBF">
              <w:t xml:space="preserve"> Přesto je nad hranicí plnění cíle</w:t>
            </w:r>
            <w:r w:rsidR="00F9782D" w:rsidRPr="00A14BBF">
              <w:t xml:space="preserve">. </w:t>
            </w:r>
            <w:r w:rsidRPr="00A14BBF">
              <w:t xml:space="preserve"> Je možno vyhodnotit, že povědomí o povinnostech zpětného odběru a rozšiřování sběrné sítě pro jejich sběr je již vysoké</w:t>
            </w:r>
            <w:r w:rsidR="00F9782D" w:rsidRPr="00A14BBF">
              <w:t>.</w:t>
            </w:r>
            <w:r w:rsidRPr="00A14BBF">
              <w:t xml:space="preserve"> Stoupají i</w:t>
            </w:r>
            <w:r w:rsidR="00A83C68" w:rsidRPr="00A14BBF">
              <w:t> </w:t>
            </w:r>
            <w:r w:rsidRPr="00A14BBF">
              <w:t>počty výrobců, kteří řádně plní zákonné povinnosti, zejména prostřednictvím kolektivníc</w:t>
            </w:r>
            <w:r w:rsidRPr="00A14BBF">
              <w:t xml:space="preserve">h systémů. Jelikož meziroční rozdíl v procentuální úrovni sběru </w:t>
            </w:r>
            <w:r w:rsidRPr="00A14BBF">
              <w:rPr>
                <w:rFonts w:cstheme="minorHAnsi"/>
              </w:rPr>
              <w:t>odpadních přenosných baterií byl pod 1 %,</w:t>
            </w:r>
            <w:r w:rsidRPr="00A14BBF">
              <w:rPr>
                <w:rFonts w:cstheme="minorHAnsi"/>
                <w:b/>
              </w:rPr>
              <w:t xml:space="preserve"> </w:t>
            </w:r>
            <w:r w:rsidRPr="00A14BBF">
              <w:rPr>
                <w:rFonts w:cstheme="minorHAnsi"/>
              </w:rPr>
              <w:t>tak lze hodnotit, že</w:t>
            </w:r>
            <w:r w:rsidRPr="00A14BBF">
              <w:rPr>
                <w:rFonts w:cstheme="minorHAnsi"/>
                <w:b/>
              </w:rPr>
              <w:t xml:space="preserve"> </w:t>
            </w:r>
            <w:r w:rsidRPr="00A14BBF">
              <w:rPr>
                <w:rFonts w:cstheme="minorHAnsi"/>
              </w:rPr>
              <w:t>c</w:t>
            </w:r>
            <w:r w:rsidRPr="00A14BBF">
              <w:t>íl byl plněn</w:t>
            </w:r>
            <w:r w:rsidR="00F9782D" w:rsidRPr="00A14BBF">
              <w:t>.</w:t>
            </w:r>
          </w:p>
        </w:tc>
      </w:tr>
    </w:tbl>
    <w:p w:rsidR="000231E5" w:rsidRPr="00A14BBF" w:rsidRDefault="000231E5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23.</w:t>
            </w:r>
          </w:p>
        </w:tc>
        <w:tc>
          <w:tcPr>
            <w:tcW w:w="1134" w:type="dxa"/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t>3.3.1.6.3</w:t>
            </w:r>
          </w:p>
        </w:tc>
        <w:tc>
          <w:tcPr>
            <w:tcW w:w="5386" w:type="dxa"/>
            <w:vAlign w:val="center"/>
          </w:tcPr>
          <w:p w:rsidR="0083272C" w:rsidRPr="00A14BBF" w:rsidRDefault="008C12E6" w:rsidP="002E0AC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 xml:space="preserve">V letech </w:t>
            </w:r>
            <w:r w:rsidR="00C1329D" w:rsidRPr="00A14BBF">
              <w:rPr>
                <w:b/>
              </w:rPr>
              <w:t>2015–2016</w:t>
            </w:r>
            <w:r w:rsidRPr="00A14BBF">
              <w:rPr>
                <w:b/>
              </w:rPr>
              <w:t xml:space="preserve"> dosáhnout požadovaných úrovní tříděného sběru odpadních přenosných baterií a akumulátorů</w:t>
            </w:r>
            <w:r w:rsidR="004515FB" w:rsidRPr="00A14BBF">
              <w:rPr>
                <w:b/>
              </w:rPr>
              <w:t xml:space="preserve">. V roce </w:t>
            </w:r>
            <w:proofErr w:type="gramStart"/>
            <w:r w:rsidR="004515FB" w:rsidRPr="00A14BBF">
              <w:rPr>
                <w:b/>
              </w:rPr>
              <w:t xml:space="preserve">2016 </w:t>
            </w:r>
            <w:r w:rsidR="002E0AC7" w:rsidRPr="00A14BBF">
              <w:rPr>
                <w:b/>
              </w:rPr>
              <w:t>-</w:t>
            </w:r>
            <w:r w:rsidR="004515FB" w:rsidRPr="00A14BBF">
              <w:rPr>
                <w:b/>
              </w:rPr>
              <w:t xml:space="preserve"> 45</w:t>
            </w:r>
            <w:proofErr w:type="gramEnd"/>
            <w:r w:rsidR="004515FB" w:rsidRPr="00A14BBF">
              <w:rPr>
                <w:b/>
              </w:rPr>
              <w:t xml:space="preserve"> %. </w:t>
            </w: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p w:rsidR="001754B1" w:rsidRPr="00A14BBF" w:rsidRDefault="008C12E6" w:rsidP="001754B1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Cíl plněn. </w:t>
            </w:r>
          </w:p>
          <w:p w:rsidR="003C1790" w:rsidRPr="00A14BBF" w:rsidRDefault="008C12E6" w:rsidP="00F37B96">
            <w:pPr>
              <w:spacing w:after="120" w:line="276" w:lineRule="auto"/>
              <w:rPr>
                <w:b/>
              </w:rPr>
            </w:pPr>
            <w:r w:rsidRPr="00A14BBF">
              <w:rPr>
                <w:b/>
              </w:rPr>
              <w:t xml:space="preserve">Úroveň zpětného odběru a sběru </w:t>
            </w:r>
            <w:r w:rsidRPr="00A14BBF">
              <w:t xml:space="preserve">přenosných baterií a akumulátorů 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velmi mírně poklesla o 0,8 % z 49,4 % v 2019 na 48,6</w:t>
            </w:r>
            <w:r w:rsidR="00C1329D">
              <w:t> </w:t>
            </w:r>
            <w:r w:rsidRPr="00A14BBF">
              <w:t>% v 2020. Přesto je nad hranicí plnění cíle.  Povědomí o</w:t>
            </w:r>
            <w:r w:rsidR="00C1329D">
              <w:t> </w:t>
            </w:r>
            <w:r w:rsidRPr="00A14BBF">
              <w:t>povinnostech zpětného odběru a rozšiřování sběrné sítě pro jejich sběr je již vysoké. Stoupají i počty výrobců, kteří řádně plní zákonné povinnos</w:t>
            </w:r>
            <w:r w:rsidRPr="00A14BBF">
              <w:t>ti. Cíl pro přenosné baterie a akumulátory v dosažení minimální úrovně zpětného odběru a sběru pro rok 2016 byl i v letech 2019 a 2020 plněn.</w:t>
            </w:r>
          </w:p>
        </w:tc>
      </w:tr>
    </w:tbl>
    <w:p w:rsidR="007F7268" w:rsidRPr="00A14BBF" w:rsidRDefault="007F7268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t>3.3.1.6.3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52F79" w:rsidRPr="00A14BBF" w:rsidRDefault="008C12E6" w:rsidP="00884828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Dosahovat vysoké recyklační účinnosti procesů recyklace odpadních baterií a akumulátorů.</w:t>
            </w: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932138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887" w:rsidRPr="00A14BBF" w:rsidRDefault="008C12E6" w:rsidP="00671887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Cíl plněn. </w:t>
            </w:r>
          </w:p>
          <w:p w:rsidR="00F012BB" w:rsidRPr="00A14BBF" w:rsidRDefault="008C12E6" w:rsidP="00916E30">
            <w:pPr>
              <w:spacing w:line="276" w:lineRule="auto"/>
            </w:pPr>
            <w:r w:rsidRPr="00A14BBF">
              <w:t xml:space="preserve">V letech </w:t>
            </w:r>
            <w:r w:rsidR="00C1329D" w:rsidRPr="00A14BBF">
              <w:t>2019–2020</w:t>
            </w:r>
            <w:r w:rsidRPr="00A14BBF">
              <w:t xml:space="preserve"> bylo dosaženo </w:t>
            </w:r>
            <w:r w:rsidRPr="00A14BBF">
              <w:rPr>
                <w:bCs/>
              </w:rPr>
              <w:t xml:space="preserve">vysoké míry recyklační účinnosti u olověných baterií a akumulátorů </w:t>
            </w:r>
            <w:r w:rsidRPr="00A14BBF">
              <w:t>u nikl</w:t>
            </w:r>
            <w:r w:rsidRPr="00A14BBF">
              <w:rPr>
                <w:rFonts w:ascii="MS Gothic" w:eastAsia="MS Gothic" w:hAnsi="MS Gothic" w:cs="MS Gothic" w:hint="eastAsia"/>
              </w:rPr>
              <w:t>‑</w:t>
            </w:r>
            <w:r w:rsidRPr="00A14BBF">
              <w:t>kadmiových</w:t>
            </w:r>
            <w:r w:rsidR="002E0AC7" w:rsidRPr="00A14BBF">
              <w:t xml:space="preserve"> (Ni-Cd)</w:t>
            </w:r>
            <w:r w:rsidRPr="00A14BBF">
              <w:t xml:space="preserve"> baterií a akumulátorů i ostatních baterií a akumulátorů. </w:t>
            </w:r>
          </w:p>
          <w:p w:rsidR="00F012BB" w:rsidRPr="00A14BBF" w:rsidRDefault="008C12E6" w:rsidP="00F012BB">
            <w:pPr>
              <w:spacing w:line="276" w:lineRule="auto"/>
            </w:pPr>
            <w:r w:rsidRPr="00A14BBF">
              <w:rPr>
                <w:bCs/>
              </w:rPr>
              <w:lastRenderedPageBreak/>
              <w:t>U olověných akumulátorů (</w:t>
            </w:r>
            <w:proofErr w:type="spellStart"/>
            <w:r w:rsidRPr="00A14BBF">
              <w:rPr>
                <w:bCs/>
              </w:rPr>
              <w:t>Pb</w:t>
            </w:r>
            <w:proofErr w:type="spellEnd"/>
            <w:r w:rsidRPr="00A14BBF">
              <w:rPr>
                <w:bCs/>
              </w:rPr>
              <w:t>) byl</w:t>
            </w:r>
            <w:r w:rsidRPr="00A14BBF">
              <w:rPr>
                <w:bCs/>
              </w:rPr>
              <w:t>o dosaženo 83</w:t>
            </w:r>
            <w:r w:rsidRPr="00A14BBF">
              <w:t>,9 %, u nikl</w:t>
            </w:r>
            <w:r w:rsidRPr="00A14BBF">
              <w:rPr>
                <w:rFonts w:ascii="MS Gothic" w:eastAsia="MS Gothic" w:hAnsi="MS Gothic" w:cs="MS Gothic" w:hint="eastAsia"/>
              </w:rPr>
              <w:t>‑</w:t>
            </w:r>
            <w:r w:rsidRPr="00A14BBF">
              <w:t>kadmiových baterií (Ni-Cd) baterií 90,7 %, u ostatních baterií a akumulátorů 75,8 %.</w:t>
            </w:r>
          </w:p>
          <w:p w:rsidR="00FA646E" w:rsidRPr="00A14BBF" w:rsidRDefault="008C12E6" w:rsidP="00F012BB">
            <w:pPr>
              <w:spacing w:line="276" w:lineRule="auto"/>
            </w:pPr>
            <w:r w:rsidRPr="00A14BBF">
              <w:t>U všech skupin baterií a</w:t>
            </w:r>
            <w:r w:rsidR="002E0AC7" w:rsidRPr="00A14BBF">
              <w:t> </w:t>
            </w:r>
            <w:r w:rsidRPr="00A14BBF">
              <w:t xml:space="preserve">akumulátorů byly cíle pro recyklační účinnost 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plněny.</w:t>
            </w:r>
          </w:p>
        </w:tc>
      </w:tr>
    </w:tbl>
    <w:p w:rsidR="000231E5" w:rsidRPr="00A14BBF" w:rsidRDefault="000231E5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25.</w:t>
            </w:r>
          </w:p>
        </w:tc>
        <w:tc>
          <w:tcPr>
            <w:tcW w:w="1134" w:type="dxa"/>
            <w:vAlign w:val="center"/>
          </w:tcPr>
          <w:p w:rsidR="0083272C" w:rsidRPr="00A14BBF" w:rsidRDefault="008C12E6" w:rsidP="001C1AF2">
            <w:pPr>
              <w:spacing w:line="276" w:lineRule="auto"/>
              <w:jc w:val="center"/>
            </w:pPr>
            <w:r w:rsidRPr="00A14BBF">
              <w:t>3.3.1.6.3</w:t>
            </w:r>
          </w:p>
        </w:tc>
        <w:tc>
          <w:tcPr>
            <w:tcW w:w="5386" w:type="dxa"/>
            <w:vAlign w:val="center"/>
          </w:tcPr>
          <w:p w:rsidR="0083272C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 xml:space="preserve">Dlouhodobě dosahovat požadované recyklační účinnosti procesů recyklace odpadních baterií a akumulátorů. </w:t>
            </w:r>
            <w:r w:rsidR="002E0141" w:rsidRPr="00A14BBF">
              <w:rPr>
                <w:b/>
              </w:rPr>
              <w:t>Požadovaná m</w:t>
            </w:r>
            <w:r w:rsidRPr="00A14BBF">
              <w:rPr>
                <w:b/>
              </w:rPr>
              <w:t>inimální recyklační účinnost pro recyklaci výstupních frakcí recyklačního procesu</w:t>
            </w:r>
            <w:r w:rsidR="00740D68" w:rsidRPr="00A14BBF">
              <w:rPr>
                <w:b/>
              </w:rPr>
              <w:t>,</w:t>
            </w:r>
            <w:r w:rsidRPr="00A14BBF">
              <w:rPr>
                <w:b/>
              </w:rPr>
              <w:t xml:space="preserve"> viz tabulka</w:t>
            </w:r>
            <w:r w:rsidR="002E0141" w:rsidRPr="00A14BBF">
              <w:rPr>
                <w:b/>
              </w:rPr>
              <w:t>:</w:t>
            </w:r>
            <w:r w:rsidRPr="00A14BBF">
              <w:rPr>
                <w:b/>
              </w:rPr>
              <w:t xml:space="preserve"> </w:t>
            </w:r>
          </w:p>
        </w:tc>
      </w:tr>
      <w:tr w:rsidR="007E5173" w:rsidTr="000B36E1">
        <w:trPr>
          <w:trHeight w:val="2539"/>
        </w:trPr>
        <w:tc>
          <w:tcPr>
            <w:tcW w:w="1970" w:type="dxa"/>
            <w:tcBorders>
              <w:left w:val="single" w:sz="12" w:space="0" w:color="auto"/>
            </w:tcBorders>
          </w:tcPr>
          <w:p w:rsidR="002E0141" w:rsidRPr="00A14BBF" w:rsidRDefault="002E0141" w:rsidP="001C1A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tbl>
            <w:tblPr>
              <w:tblW w:w="49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95"/>
              <w:gridCol w:w="2552"/>
            </w:tblGrid>
            <w:tr w:rsidR="007E5173" w:rsidTr="009F0DF4">
              <w:trPr>
                <w:trHeight w:val="423"/>
              </w:trPr>
              <w:tc>
                <w:tcPr>
                  <w:tcW w:w="2395" w:type="dxa"/>
                  <w:vMerge w:val="restart"/>
                  <w:noWrap/>
                </w:tcPr>
                <w:p w:rsidR="002E0141" w:rsidRPr="00A14BBF" w:rsidRDefault="002E0141" w:rsidP="001C1AF2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2E0141" w:rsidRPr="00A14BBF" w:rsidRDefault="008C12E6" w:rsidP="001C1AF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F">
                    <w:rPr>
                      <w:b/>
                      <w:sz w:val="18"/>
                      <w:szCs w:val="18"/>
                    </w:rPr>
                    <w:t>Cíl (2015 a dále)</w:t>
                  </w:r>
                </w:p>
              </w:tc>
            </w:tr>
            <w:tr w:rsidR="007E5173" w:rsidTr="009F0DF4">
              <w:trPr>
                <w:trHeight w:val="385"/>
              </w:trPr>
              <w:tc>
                <w:tcPr>
                  <w:tcW w:w="2395" w:type="dxa"/>
                  <w:vMerge/>
                  <w:noWrap/>
                </w:tcPr>
                <w:p w:rsidR="002E0141" w:rsidRPr="00A14BBF" w:rsidRDefault="002E0141" w:rsidP="001C1AF2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2E0141" w:rsidRPr="00A14BBF" w:rsidRDefault="008C12E6" w:rsidP="001C1AF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F">
                    <w:rPr>
                      <w:b/>
                      <w:sz w:val="18"/>
                      <w:szCs w:val="18"/>
                    </w:rPr>
                    <w:t>Minimální recyklační</w:t>
                  </w:r>
                  <w:r w:rsidRPr="00A14BBF">
                    <w:rPr>
                      <w:b/>
                      <w:sz w:val="18"/>
                      <w:szCs w:val="18"/>
                    </w:rPr>
                    <w:t xml:space="preserve"> účinnost</w:t>
                  </w:r>
                </w:p>
              </w:tc>
            </w:tr>
            <w:tr w:rsidR="007E5173" w:rsidTr="009F0DF4">
              <w:trPr>
                <w:trHeight w:val="300"/>
              </w:trPr>
              <w:tc>
                <w:tcPr>
                  <w:tcW w:w="2395" w:type="dxa"/>
                  <w:noWrap/>
                </w:tcPr>
                <w:p w:rsidR="002E0141" w:rsidRPr="00A14BBF" w:rsidRDefault="008C12E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>Olověné akumulátory</w:t>
                  </w:r>
                </w:p>
              </w:tc>
              <w:tc>
                <w:tcPr>
                  <w:tcW w:w="2552" w:type="dxa"/>
                  <w:noWrap/>
                  <w:vAlign w:val="center"/>
                </w:tcPr>
                <w:p w:rsidR="002E0141" w:rsidRPr="00A14BBF" w:rsidRDefault="008C12E6" w:rsidP="001C1AF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F">
                    <w:rPr>
                      <w:b/>
                      <w:sz w:val="18"/>
                      <w:szCs w:val="18"/>
                    </w:rPr>
                    <w:t>65 %</w:t>
                  </w:r>
                </w:p>
              </w:tc>
            </w:tr>
            <w:tr w:rsidR="007E5173" w:rsidTr="009F0DF4">
              <w:trPr>
                <w:trHeight w:val="300"/>
              </w:trPr>
              <w:tc>
                <w:tcPr>
                  <w:tcW w:w="2395" w:type="dxa"/>
                  <w:noWrap/>
                </w:tcPr>
                <w:p w:rsidR="002E0141" w:rsidRPr="00A14BBF" w:rsidRDefault="008C12E6" w:rsidP="001C1AF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14BBF">
                    <w:rPr>
                      <w:sz w:val="18"/>
                      <w:szCs w:val="18"/>
                    </w:rPr>
                    <w:t>Nikl-kadmiové akumulátory</w:t>
                  </w:r>
                </w:p>
              </w:tc>
              <w:tc>
                <w:tcPr>
                  <w:tcW w:w="2552" w:type="dxa"/>
                  <w:noWrap/>
                  <w:vAlign w:val="center"/>
                </w:tcPr>
                <w:p w:rsidR="002E0141" w:rsidRPr="00A14BBF" w:rsidRDefault="008C12E6" w:rsidP="001C1AF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4BBF">
                    <w:rPr>
                      <w:b/>
                      <w:sz w:val="18"/>
                      <w:szCs w:val="18"/>
                    </w:rPr>
                    <w:t>75 %</w:t>
                  </w:r>
                </w:p>
              </w:tc>
            </w:tr>
            <w:tr w:rsidR="007E5173" w:rsidTr="009F0DF4">
              <w:trPr>
                <w:trHeight w:val="315"/>
              </w:trPr>
              <w:tc>
                <w:tcPr>
                  <w:tcW w:w="2395" w:type="dxa"/>
                  <w:noWrap/>
                </w:tcPr>
                <w:p w:rsidR="002E0141" w:rsidRPr="00A14BBF" w:rsidRDefault="008C12E6" w:rsidP="001C1AF2">
                  <w:pPr>
                    <w:spacing w:line="276" w:lineRule="auto"/>
                    <w:rPr>
                      <w:bCs/>
                      <w:sz w:val="18"/>
                      <w:szCs w:val="18"/>
                    </w:rPr>
                  </w:pPr>
                  <w:r w:rsidRPr="00A14BBF">
                    <w:rPr>
                      <w:bCs/>
                      <w:sz w:val="18"/>
                      <w:szCs w:val="18"/>
                    </w:rPr>
                    <w:t>Ostatní baterie a akumulátory</w:t>
                  </w:r>
                </w:p>
              </w:tc>
              <w:tc>
                <w:tcPr>
                  <w:tcW w:w="2552" w:type="dxa"/>
                  <w:noWrap/>
                  <w:vAlign w:val="center"/>
                </w:tcPr>
                <w:p w:rsidR="002E0141" w:rsidRPr="00A14BBF" w:rsidRDefault="008C12E6" w:rsidP="001C1AF2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4BBF">
                    <w:rPr>
                      <w:b/>
                      <w:bCs/>
                      <w:sz w:val="18"/>
                      <w:szCs w:val="18"/>
                    </w:rPr>
                    <w:t>50 %</w:t>
                  </w:r>
                </w:p>
              </w:tc>
            </w:tr>
          </w:tbl>
          <w:p w:rsidR="002E0141" w:rsidRPr="00A14BBF" w:rsidRDefault="002E0141" w:rsidP="001C1AF2">
            <w:pPr>
              <w:spacing w:line="276" w:lineRule="auto"/>
            </w:pP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E0141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p w:rsidR="00722865" w:rsidRPr="00A14BBF" w:rsidRDefault="008C12E6" w:rsidP="00722865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Cíl plněn. </w:t>
            </w:r>
          </w:p>
          <w:p w:rsidR="00CD7DEA" w:rsidRPr="00A14BBF" w:rsidRDefault="008C12E6" w:rsidP="00916E30">
            <w:pPr>
              <w:spacing w:line="276" w:lineRule="auto"/>
            </w:pPr>
            <w:r w:rsidRPr="00A14BBF">
              <w:t xml:space="preserve">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bylo dosaženo </w:t>
            </w:r>
            <w:r w:rsidRPr="00A14BBF">
              <w:rPr>
                <w:bCs/>
              </w:rPr>
              <w:t>vysoké míry recyklační účinnosti u olověných baterií a akumulátorů</w:t>
            </w:r>
            <w:r w:rsidR="00916E30" w:rsidRPr="00A14BBF">
              <w:rPr>
                <w:bCs/>
              </w:rPr>
              <w:t xml:space="preserve"> (</w:t>
            </w:r>
            <w:proofErr w:type="spellStart"/>
            <w:r w:rsidR="00916E30" w:rsidRPr="00A14BBF">
              <w:rPr>
                <w:bCs/>
              </w:rPr>
              <w:t>Pb</w:t>
            </w:r>
            <w:proofErr w:type="spellEnd"/>
            <w:r w:rsidR="00916E30" w:rsidRPr="00A14BBF">
              <w:rPr>
                <w:bCs/>
              </w:rPr>
              <w:t>)</w:t>
            </w:r>
            <w:r w:rsidRPr="00A14BBF">
              <w:rPr>
                <w:bCs/>
              </w:rPr>
              <w:t xml:space="preserve"> </w:t>
            </w:r>
            <w:r w:rsidRPr="00A14BBF">
              <w:t xml:space="preserve">u </w:t>
            </w:r>
            <w:r w:rsidRPr="00A14BBF">
              <w:t>nikl</w:t>
            </w:r>
            <w:r w:rsidRPr="00A14BBF">
              <w:rPr>
                <w:rFonts w:ascii="MS Gothic" w:eastAsia="MS Gothic" w:hAnsi="MS Gothic" w:cs="MS Gothic" w:hint="eastAsia"/>
              </w:rPr>
              <w:t>‑</w:t>
            </w:r>
            <w:r w:rsidRPr="00A14BBF">
              <w:t xml:space="preserve">kadmiových baterií a akumulátorů </w:t>
            </w:r>
            <w:r w:rsidR="00916E30" w:rsidRPr="00A14BBF">
              <w:t xml:space="preserve">(Ni-Cd) </w:t>
            </w:r>
            <w:r w:rsidRPr="00A14BBF">
              <w:t xml:space="preserve">i ostatních baterií a akumulátorů. </w:t>
            </w:r>
          </w:p>
          <w:p w:rsidR="00CD7DEA" w:rsidRPr="00A14BBF" w:rsidRDefault="008C12E6" w:rsidP="004E23C8">
            <w:pPr>
              <w:spacing w:line="276" w:lineRule="auto"/>
              <w:rPr>
                <w:b/>
              </w:rPr>
            </w:pPr>
            <w:r w:rsidRPr="00A14BBF">
              <w:rPr>
                <w:bCs/>
              </w:rPr>
              <w:t xml:space="preserve">V roce 2020 bylo dosaženo vysoké míry </w:t>
            </w:r>
            <w:r w:rsidRPr="00A14BBF">
              <w:rPr>
                <w:b/>
                <w:bCs/>
              </w:rPr>
              <w:t>recyklační účinnosti</w:t>
            </w:r>
            <w:r w:rsidRPr="00A14BBF">
              <w:rPr>
                <w:bCs/>
              </w:rPr>
              <w:t xml:space="preserve"> u olověných akumulátorů (</w:t>
            </w:r>
            <w:proofErr w:type="spellStart"/>
            <w:r w:rsidRPr="00A14BBF">
              <w:rPr>
                <w:bCs/>
              </w:rPr>
              <w:t>Pb</w:t>
            </w:r>
            <w:proofErr w:type="spellEnd"/>
            <w:r w:rsidRPr="00A14BBF">
              <w:rPr>
                <w:bCs/>
              </w:rPr>
              <w:t>) 83</w:t>
            </w:r>
            <w:r w:rsidRPr="00A14BBF">
              <w:t>,9 %, u nikl</w:t>
            </w:r>
            <w:r w:rsidRPr="00A14BBF">
              <w:rPr>
                <w:rFonts w:ascii="MS Gothic" w:eastAsia="MS Gothic" w:hAnsi="MS Gothic" w:cs="MS Gothic" w:hint="eastAsia"/>
              </w:rPr>
              <w:t>‑</w:t>
            </w:r>
            <w:r w:rsidRPr="00A14BBF">
              <w:t>kadmiových baterií (Ni-Cd) baterií 90,7</w:t>
            </w:r>
            <w:r w:rsidR="004E23C8" w:rsidRPr="00A14BBF">
              <w:t> </w:t>
            </w:r>
            <w:r w:rsidRPr="00A14BBF">
              <w:t>%, u ostatních baterií a akumul</w:t>
            </w:r>
            <w:r w:rsidRPr="00A14BBF">
              <w:t>átorů 75,8 %. V případě olověných baterií byla v roce 2019 recyklační účinnost 84,6 %, u nikl</w:t>
            </w:r>
            <w:r w:rsidRPr="00A14BBF">
              <w:rPr>
                <w:rFonts w:ascii="MS Gothic" w:eastAsia="MS Gothic" w:hAnsi="MS Gothic" w:cs="MS Gothic" w:hint="eastAsia"/>
              </w:rPr>
              <w:t>‑</w:t>
            </w:r>
            <w:r w:rsidRPr="00A14BBF">
              <w:t>kadmiových baterií a akumulátorů 89,3 % a</w:t>
            </w:r>
            <w:r w:rsidRPr="00A14BBF">
              <w:rPr>
                <w:rFonts w:hint="cs"/>
                <w:rtl/>
              </w:rPr>
              <w:t> </w:t>
            </w:r>
            <w:r w:rsidRPr="00A14BBF">
              <w:t>u ostatních použitých baterií a akumulátorů 64,6 %.</w:t>
            </w:r>
            <w:r w:rsidR="004E23C8" w:rsidRPr="00A14BBF">
              <w:t xml:space="preserve"> </w:t>
            </w:r>
            <w:r w:rsidR="00C50C79" w:rsidRPr="00A14BBF">
              <w:t>U všech skupin baterií a</w:t>
            </w:r>
            <w:r w:rsidR="00916E30" w:rsidRPr="00A14BBF">
              <w:t> </w:t>
            </w:r>
            <w:r w:rsidR="00C50C79" w:rsidRPr="00A14BBF">
              <w:t xml:space="preserve">akumulátorů byly cíle pro recyklační účinnost v letech </w:t>
            </w:r>
            <w:r w:rsidR="00C1329D" w:rsidRPr="00A14BBF">
              <w:t>2019</w:t>
            </w:r>
            <w:r w:rsidR="00C1329D">
              <w:t>–2020</w:t>
            </w:r>
            <w:r w:rsidR="00C50C79" w:rsidRPr="00A14BBF">
              <w:t xml:space="preserve"> plněny.</w:t>
            </w:r>
          </w:p>
        </w:tc>
      </w:tr>
    </w:tbl>
    <w:p w:rsidR="0026052D" w:rsidRPr="00A14BBF" w:rsidRDefault="0026052D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rPr>
          <w:trHeight w:val="6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909B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09B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9BA" w:rsidRPr="00A14BBF" w:rsidRDefault="008C12E6" w:rsidP="001C1AF2">
            <w:pPr>
              <w:spacing w:line="276" w:lineRule="auto"/>
              <w:jc w:val="center"/>
            </w:pPr>
            <w:r w:rsidRPr="00A14BBF">
              <w:t>3.3.1.6.4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9BA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 xml:space="preserve">Dosahovat vysoké míry využití při zpracování </w:t>
            </w:r>
            <w:r w:rsidRPr="00A14BBF">
              <w:rPr>
                <w:rFonts w:cs="Calibri"/>
                <w:b/>
                <w:szCs w:val="24"/>
              </w:rPr>
              <w:t>vozidel s ukončenou životností (</w:t>
            </w:r>
            <w:r w:rsidRPr="00A14BBF">
              <w:rPr>
                <w:b/>
              </w:rPr>
              <w:t>autovraků).</w:t>
            </w:r>
          </w:p>
        </w:tc>
      </w:tr>
      <w:tr w:rsidR="007E5173" w:rsidTr="000B36E1">
        <w:trPr>
          <w:trHeight w:val="24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856" w:rsidRPr="00A14BBF" w:rsidRDefault="008C12E6" w:rsidP="00E10856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 xml:space="preserve">Cíl plněn. </w:t>
            </w:r>
          </w:p>
          <w:p w:rsidR="00DC51A7" w:rsidRPr="00A14BBF" w:rsidRDefault="008C12E6" w:rsidP="00DC51A7">
            <w:pPr>
              <w:spacing w:line="276" w:lineRule="auto"/>
              <w:rPr>
                <w:b/>
              </w:rPr>
            </w:pPr>
            <w:r w:rsidRPr="00A14BBF">
              <w:t xml:space="preserve">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bylo dosaženo </w:t>
            </w:r>
            <w:r w:rsidRPr="00A14BBF">
              <w:rPr>
                <w:bCs/>
              </w:rPr>
              <w:t xml:space="preserve">vysoké míry využití při zpracování vozidel </w:t>
            </w:r>
            <w:r w:rsidRPr="00A14BBF">
              <w:rPr>
                <w:bCs/>
              </w:rPr>
              <w:t>s ukončenou životností (autovraků).</w:t>
            </w:r>
            <w:r w:rsidR="0043305C" w:rsidRPr="00A14BBF">
              <w:rPr>
                <w:bCs/>
              </w:rPr>
              <w:t xml:space="preserve"> Pohybovalo se přes 95 % </w:t>
            </w:r>
            <w:r w:rsidR="0043305C" w:rsidRPr="00A14BBF">
              <w:rPr>
                <w:rFonts w:cstheme="minorHAnsi"/>
                <w:szCs w:val="24"/>
              </w:rPr>
              <w:t>ze zpracovaných vybraných autovraků.</w:t>
            </w:r>
          </w:p>
        </w:tc>
      </w:tr>
    </w:tbl>
    <w:p w:rsidR="0026052D" w:rsidRPr="00A14BBF" w:rsidRDefault="0026052D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27.</w:t>
            </w:r>
          </w:p>
        </w:tc>
        <w:tc>
          <w:tcPr>
            <w:tcW w:w="1134" w:type="dxa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t>3.3.1.6.4</w:t>
            </w:r>
          </w:p>
        </w:tc>
        <w:tc>
          <w:tcPr>
            <w:tcW w:w="5386" w:type="dxa"/>
            <w:vAlign w:val="center"/>
          </w:tcPr>
          <w:p w:rsidR="00836F1A" w:rsidRPr="00E07BB9" w:rsidRDefault="008C12E6" w:rsidP="00740D68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 xml:space="preserve">V roce 2015 a dále dosáhnout požadovaných % pro využití, recyklaci a opětovné použití při zpracování </w:t>
            </w:r>
            <w:r w:rsidRPr="00A14BBF">
              <w:rPr>
                <w:b/>
              </w:rPr>
              <w:lastRenderedPageBreak/>
              <w:t xml:space="preserve">vozidel s ukončenou životností </w:t>
            </w:r>
            <w:r w:rsidRPr="00A14BBF">
              <w:rPr>
                <w:b/>
              </w:rPr>
              <w:t>(autovraků)</w:t>
            </w:r>
            <w:r w:rsidR="00740D68" w:rsidRPr="00A14BBF">
              <w:rPr>
                <w:b/>
              </w:rPr>
              <w:t xml:space="preserve">, </w:t>
            </w:r>
            <w:r w:rsidRPr="00A14BBF">
              <w:rPr>
                <w:b/>
              </w:rPr>
              <w:t>viz</w:t>
            </w:r>
            <w:r w:rsidR="00DC51A7" w:rsidRPr="00A14BBF">
              <w:rPr>
                <w:b/>
              </w:rPr>
              <w:t> </w:t>
            </w:r>
            <w:r w:rsidRPr="00A14BBF">
              <w:rPr>
                <w:b/>
              </w:rPr>
              <w:t>tabulka</w:t>
            </w:r>
            <w:r w:rsidR="00F67BAF" w:rsidRPr="00A14BBF">
              <w:rPr>
                <w:b/>
              </w:rPr>
              <w:t>:</w:t>
            </w:r>
            <w:r w:rsidRPr="00E07BB9">
              <w:rPr>
                <w:b/>
              </w:rPr>
              <w:t xml:space="preserve">  </w:t>
            </w:r>
          </w:p>
        </w:tc>
      </w:tr>
      <w:tr w:rsidR="007E5173" w:rsidTr="000B36E1">
        <w:trPr>
          <w:trHeight w:val="1863"/>
        </w:trPr>
        <w:tc>
          <w:tcPr>
            <w:tcW w:w="1970" w:type="dxa"/>
            <w:tcBorders>
              <w:left w:val="single" w:sz="12" w:space="0" w:color="auto"/>
            </w:tcBorders>
          </w:tcPr>
          <w:p w:rsidR="00F67BAF" w:rsidRDefault="00F67BAF" w:rsidP="001C1A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tbl>
            <w:tblPr>
              <w:tblW w:w="6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03"/>
              <w:gridCol w:w="2410"/>
              <w:gridCol w:w="2409"/>
            </w:tblGrid>
            <w:tr w:rsidR="007E5173" w:rsidTr="009F0DF4">
              <w:trPr>
                <w:cantSplit/>
                <w:trHeight w:val="407"/>
              </w:trPr>
              <w:tc>
                <w:tcPr>
                  <w:tcW w:w="1403" w:type="dxa"/>
                  <w:vMerge w:val="restart"/>
                  <w:noWrap/>
                </w:tcPr>
                <w:p w:rsidR="005F6C1D" w:rsidRPr="005F6C1D" w:rsidRDefault="005F6C1D" w:rsidP="001C1AF2">
                  <w:pPr>
                    <w:spacing w:line="276" w:lineRule="auto"/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gridSpan w:val="2"/>
                  <w:noWrap/>
                  <w:vAlign w:val="center"/>
                </w:tcPr>
                <w:p w:rsidR="005F6C1D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Cíle pro rok 2015 a dále</w:t>
                  </w:r>
                </w:p>
              </w:tc>
            </w:tr>
            <w:tr w:rsidR="007E5173" w:rsidTr="009F0DF4">
              <w:trPr>
                <w:trHeight w:val="285"/>
              </w:trPr>
              <w:tc>
                <w:tcPr>
                  <w:tcW w:w="1403" w:type="dxa"/>
                  <w:vMerge/>
                </w:tcPr>
                <w:p w:rsidR="005F6C1D" w:rsidRPr="00A14BBF" w:rsidRDefault="005F6C1D" w:rsidP="001C1AF2">
                  <w:pPr>
                    <w:spacing w:line="276" w:lineRule="auto"/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noWrap/>
                  <w:vAlign w:val="center"/>
                </w:tcPr>
                <w:p w:rsidR="005F6C1D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Využití a opětovné použití</w:t>
                  </w:r>
                </w:p>
              </w:tc>
              <w:tc>
                <w:tcPr>
                  <w:tcW w:w="2409" w:type="dxa"/>
                  <w:noWrap/>
                  <w:vAlign w:val="center"/>
                </w:tcPr>
                <w:p w:rsidR="005F6C1D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Recyklace a opětovné použití </w:t>
                  </w:r>
                </w:p>
              </w:tc>
            </w:tr>
            <w:tr w:rsidR="007E5173" w:rsidTr="009F0DF4">
              <w:trPr>
                <w:trHeight w:val="291"/>
              </w:trPr>
              <w:tc>
                <w:tcPr>
                  <w:tcW w:w="1403" w:type="dxa"/>
                </w:tcPr>
                <w:p w:rsidR="005F6C1D" w:rsidRPr="00A14BBF" w:rsidRDefault="008C12E6" w:rsidP="001C1AF2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color w:val="000000"/>
                      <w:sz w:val="18"/>
                      <w:szCs w:val="18"/>
                    </w:rPr>
                    <w:t>Vybraná vozidla</w:t>
                  </w:r>
                </w:p>
              </w:tc>
              <w:tc>
                <w:tcPr>
                  <w:tcW w:w="2410" w:type="dxa"/>
                  <w:vAlign w:val="center"/>
                </w:tcPr>
                <w:p w:rsidR="005F6C1D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95 %</w:t>
                  </w:r>
                </w:p>
              </w:tc>
              <w:tc>
                <w:tcPr>
                  <w:tcW w:w="2409" w:type="dxa"/>
                  <w:vAlign w:val="center"/>
                </w:tcPr>
                <w:p w:rsidR="005F6C1D" w:rsidRPr="00A14BBF" w:rsidRDefault="008C12E6" w:rsidP="001C1AF2">
                  <w:pPr>
                    <w:spacing w:line="276" w:lineRule="auto"/>
                    <w:jc w:val="center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A14BBF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85 %</w:t>
                  </w:r>
                </w:p>
              </w:tc>
            </w:tr>
          </w:tbl>
          <w:p w:rsidR="00F67BAF" w:rsidRPr="00582DE2" w:rsidRDefault="00F67BAF" w:rsidP="001C1AF2">
            <w:pPr>
              <w:spacing w:line="276" w:lineRule="auto"/>
            </w:pP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p w:rsidR="002357A4" w:rsidRPr="00A14BBF" w:rsidRDefault="008C12E6" w:rsidP="002357A4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Cíl plněn. </w:t>
            </w:r>
          </w:p>
          <w:p w:rsidR="00DC51A7" w:rsidRPr="00A14BBF" w:rsidRDefault="008C12E6" w:rsidP="00DC51A7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szCs w:val="24"/>
              </w:rPr>
              <w:t xml:space="preserve">V roce 2019 bylo </w:t>
            </w:r>
            <w:r w:rsidRPr="00A14BBF">
              <w:rPr>
                <w:rFonts w:cstheme="minorHAnsi"/>
                <w:b/>
                <w:szCs w:val="24"/>
              </w:rPr>
              <w:t>opětovně použito a recyklováno</w:t>
            </w:r>
            <w:r w:rsidRPr="00A14BBF">
              <w:rPr>
                <w:rFonts w:cstheme="minorHAnsi"/>
                <w:szCs w:val="24"/>
              </w:rPr>
              <w:t xml:space="preserve"> 91,8 % frakcí vzniklých zpracováním vybraných autovraků a v roce 2020 činilo opětovné použití a recyklace 90,2 %. </w:t>
            </w:r>
            <w:r w:rsidRPr="00A14BBF">
              <w:rPr>
                <w:rFonts w:cstheme="minorHAnsi"/>
                <w:b/>
                <w:szCs w:val="24"/>
              </w:rPr>
              <w:t>Cíl pro opětovné použití a recyklaci vybraných autovraků</w:t>
            </w:r>
            <w:r w:rsidRPr="00A14BBF">
              <w:rPr>
                <w:rFonts w:cstheme="minorHAnsi"/>
                <w:szCs w:val="24"/>
              </w:rPr>
              <w:t xml:space="preserve"> </w:t>
            </w:r>
            <w:r w:rsidRPr="00A14BBF">
              <w:rPr>
                <w:rFonts w:cstheme="minorHAnsi"/>
                <w:b/>
                <w:szCs w:val="24"/>
              </w:rPr>
              <w:t>byl splněn</w:t>
            </w:r>
            <w:r w:rsidRPr="00A14BBF">
              <w:rPr>
                <w:rFonts w:cstheme="minorHAnsi"/>
                <w:szCs w:val="24"/>
              </w:rPr>
              <w:t xml:space="preserve"> pro oba sledované roky.</w:t>
            </w:r>
          </w:p>
          <w:p w:rsidR="00DC51A7" w:rsidRPr="00A14BBF" w:rsidRDefault="008C12E6" w:rsidP="00DC51A7">
            <w:pPr>
              <w:spacing w:after="120" w:line="276" w:lineRule="auto"/>
              <w:rPr>
                <w:b/>
              </w:rPr>
            </w:pPr>
            <w:r w:rsidRPr="00A14BBF">
              <w:rPr>
                <w:rFonts w:cstheme="minorHAnsi"/>
                <w:szCs w:val="24"/>
              </w:rPr>
              <w:t xml:space="preserve">V roce 2019 bylo </w:t>
            </w:r>
            <w:r w:rsidRPr="00A14BBF">
              <w:rPr>
                <w:rFonts w:cstheme="minorHAnsi"/>
                <w:b/>
                <w:szCs w:val="24"/>
              </w:rPr>
              <w:t>využito a opětovně použito</w:t>
            </w:r>
            <w:r w:rsidRPr="00A14BBF">
              <w:rPr>
                <w:rFonts w:cstheme="minorHAnsi"/>
                <w:szCs w:val="24"/>
              </w:rPr>
              <w:t xml:space="preserve"> 95,8 % frakcí ze zpracovaných vybraných autovraků a v roce 2020 bylo využito a</w:t>
            </w:r>
            <w:r w:rsidR="006F1971" w:rsidRPr="00A14BBF">
              <w:rPr>
                <w:rFonts w:cstheme="minorHAnsi"/>
                <w:szCs w:val="24"/>
              </w:rPr>
              <w:t> </w:t>
            </w:r>
            <w:r w:rsidRPr="00A14BBF">
              <w:rPr>
                <w:rFonts w:cstheme="minorHAnsi"/>
                <w:szCs w:val="24"/>
              </w:rPr>
              <w:t xml:space="preserve">opětovně použito 95 % frakcí. </w:t>
            </w:r>
            <w:r w:rsidRPr="00A14BBF">
              <w:rPr>
                <w:rFonts w:cstheme="minorHAnsi"/>
                <w:b/>
                <w:szCs w:val="24"/>
              </w:rPr>
              <w:t xml:space="preserve">Cíl pro opětovné použití a využití vybraných autovraků byl splněn </w:t>
            </w:r>
            <w:r w:rsidRPr="00A14BBF">
              <w:rPr>
                <w:rFonts w:cstheme="minorHAnsi"/>
                <w:szCs w:val="24"/>
              </w:rPr>
              <w:t>pro oba sledované roky.</w:t>
            </w:r>
          </w:p>
        </w:tc>
      </w:tr>
    </w:tbl>
    <w:p w:rsidR="002E3134" w:rsidRPr="00A14BBF" w:rsidRDefault="002E3134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t>3.3.1.6.5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>Zvýšit úroveň tříděného sběru odpadn</w:t>
            </w:r>
            <w:r w:rsidRPr="00A14BBF">
              <w:rPr>
                <w:b/>
              </w:rPr>
              <w:t>ích pneumatik.</w:t>
            </w:r>
          </w:p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71BA" w:rsidRPr="00A14BBF" w:rsidRDefault="008C12E6" w:rsidP="005171BA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Cíl plněn. </w:t>
            </w:r>
          </w:p>
          <w:p w:rsidR="00055C33" w:rsidRPr="00A14BBF" w:rsidRDefault="008C12E6" w:rsidP="00055C33">
            <w:pPr>
              <w:spacing w:after="120" w:line="276" w:lineRule="auto"/>
              <w:rPr>
                <w:b/>
              </w:rPr>
            </w:pPr>
            <w:r w:rsidRPr="00A14BBF">
              <w:t xml:space="preserve">Úroveň zpětného odběru pneumatik meziročně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opět vzrostla na 82 % </w:t>
            </w:r>
            <w:r w:rsidR="00E63784">
              <w:t xml:space="preserve">v </w:t>
            </w:r>
            <w:r w:rsidRPr="00A14BBF">
              <w:t xml:space="preserve">roce 2020. </w:t>
            </w:r>
            <w:r w:rsidR="00885228" w:rsidRPr="00A14BBF">
              <w:rPr>
                <w:bCs/>
              </w:rPr>
              <w:t>Legislativně a</w:t>
            </w:r>
            <w:r w:rsidRPr="00A14BBF">
              <w:rPr>
                <w:bCs/>
              </w:rPr>
              <w:t> </w:t>
            </w:r>
            <w:r w:rsidR="00885228" w:rsidRPr="00A14BBF">
              <w:rPr>
                <w:bCs/>
              </w:rPr>
              <w:t xml:space="preserve">metodicky jsou nastavena pravidla pro </w:t>
            </w:r>
            <w:r w:rsidRPr="00A14BBF">
              <w:rPr>
                <w:bCs/>
              </w:rPr>
              <w:t>zpětný odběr pneumatik a n</w:t>
            </w:r>
            <w:r w:rsidR="00885228" w:rsidRPr="00A14BBF">
              <w:rPr>
                <w:bCs/>
              </w:rPr>
              <w:t>akládání s </w:t>
            </w:r>
            <w:r w:rsidRPr="00A14BBF">
              <w:rPr>
                <w:bCs/>
              </w:rPr>
              <w:t>nimi</w:t>
            </w:r>
            <w:r w:rsidR="00885228" w:rsidRPr="00A14BBF">
              <w:rPr>
                <w:bCs/>
              </w:rPr>
              <w:t>.</w:t>
            </w:r>
          </w:p>
        </w:tc>
      </w:tr>
    </w:tbl>
    <w:p w:rsidR="008621DF" w:rsidRPr="00A14BBF" w:rsidRDefault="008621DF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29.</w:t>
            </w:r>
          </w:p>
        </w:tc>
        <w:tc>
          <w:tcPr>
            <w:tcW w:w="1134" w:type="dxa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t>3.3.1.6.5</w:t>
            </w:r>
          </w:p>
        </w:tc>
        <w:tc>
          <w:tcPr>
            <w:tcW w:w="5386" w:type="dxa"/>
            <w:vAlign w:val="center"/>
          </w:tcPr>
          <w:p w:rsidR="00836F1A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Dosáhnout požadované úrovně sběru </w:t>
            </w:r>
            <w:r w:rsidR="00A72333" w:rsidRPr="00A14BBF">
              <w:rPr>
                <w:b/>
              </w:rPr>
              <w:t xml:space="preserve">odpadních </w:t>
            </w:r>
            <w:r w:rsidRPr="00A14BBF">
              <w:rPr>
                <w:b/>
              </w:rPr>
              <w:t>pneumatik</w:t>
            </w:r>
            <w:r w:rsidR="00B91573" w:rsidRPr="00A14BBF">
              <w:rPr>
                <w:b/>
              </w:rPr>
              <w:t>,</w:t>
            </w:r>
            <w:r w:rsidRPr="00A14BBF">
              <w:rPr>
                <w:b/>
              </w:rPr>
              <w:t xml:space="preserve"> viz tabulka </w:t>
            </w:r>
            <w:r w:rsidR="00A72333" w:rsidRPr="00A14BBF">
              <w:rPr>
                <w:b/>
              </w:rPr>
              <w:t>níže</w:t>
            </w:r>
            <w:r w:rsidR="00B91573" w:rsidRPr="00A14BBF">
              <w:rPr>
                <w:b/>
              </w:rPr>
              <w:t>.</w:t>
            </w:r>
            <w:r w:rsidRPr="00A14BBF">
              <w:rPr>
                <w:b/>
              </w:rPr>
              <w:t xml:space="preserve">  </w:t>
            </w:r>
          </w:p>
        </w:tc>
      </w:tr>
      <w:tr w:rsidR="007E5173" w:rsidTr="00055C33">
        <w:trPr>
          <w:trHeight w:val="1417"/>
        </w:trPr>
        <w:tc>
          <w:tcPr>
            <w:tcW w:w="1970" w:type="dxa"/>
            <w:tcBorders>
              <w:left w:val="single" w:sz="12" w:space="0" w:color="auto"/>
            </w:tcBorders>
          </w:tcPr>
          <w:p w:rsidR="00A72333" w:rsidRPr="00A14BBF" w:rsidRDefault="00A72333" w:rsidP="00D66A1B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tbl>
            <w:tblPr>
              <w:tblW w:w="35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95"/>
              <w:gridCol w:w="1134"/>
            </w:tblGrid>
            <w:tr w:rsidR="007E5173" w:rsidTr="009F0DF4">
              <w:trPr>
                <w:trHeight w:val="302"/>
              </w:trPr>
              <w:tc>
                <w:tcPr>
                  <w:tcW w:w="2395" w:type="dxa"/>
                  <w:noWrap/>
                </w:tcPr>
                <w:p w:rsidR="00A72333" w:rsidRPr="00A14BBF" w:rsidRDefault="00A72333" w:rsidP="00D66A1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vAlign w:val="center"/>
                </w:tcPr>
                <w:p w:rsidR="00A72333" w:rsidRPr="00A14BBF" w:rsidRDefault="008C12E6" w:rsidP="00D66A1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14BBF">
                    <w:rPr>
                      <w:bCs/>
                      <w:sz w:val="18"/>
                      <w:szCs w:val="18"/>
                    </w:rPr>
                    <w:t>Sběr</w:t>
                  </w:r>
                </w:p>
              </w:tc>
            </w:tr>
            <w:tr w:rsidR="007E5173" w:rsidTr="009F0DF4">
              <w:trPr>
                <w:trHeight w:val="300"/>
              </w:trPr>
              <w:tc>
                <w:tcPr>
                  <w:tcW w:w="2395" w:type="dxa"/>
                  <w:noWrap/>
                </w:tcPr>
                <w:p w:rsidR="00A72333" w:rsidRPr="00A14BBF" w:rsidRDefault="008C12E6" w:rsidP="00D66A1B">
                  <w:pPr>
                    <w:rPr>
                      <w:bCs/>
                      <w:sz w:val="18"/>
                      <w:szCs w:val="18"/>
                    </w:rPr>
                  </w:pPr>
                  <w:r w:rsidRPr="00A14BBF">
                    <w:rPr>
                      <w:bCs/>
                      <w:sz w:val="18"/>
                      <w:szCs w:val="18"/>
                    </w:rPr>
                    <w:t xml:space="preserve">Cílový stav rok 2016 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72333" w:rsidRPr="00A14BBF" w:rsidRDefault="008C12E6" w:rsidP="00D66A1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14BBF">
                    <w:rPr>
                      <w:bCs/>
                      <w:sz w:val="18"/>
                      <w:szCs w:val="18"/>
                    </w:rPr>
                    <w:t>35 %</w:t>
                  </w:r>
                </w:p>
              </w:tc>
            </w:tr>
            <w:tr w:rsidR="007E5173" w:rsidTr="009F0DF4">
              <w:trPr>
                <w:trHeight w:val="300"/>
              </w:trPr>
              <w:tc>
                <w:tcPr>
                  <w:tcW w:w="2395" w:type="dxa"/>
                  <w:noWrap/>
                </w:tcPr>
                <w:p w:rsidR="00A72333" w:rsidRPr="00A14BBF" w:rsidRDefault="008C12E6" w:rsidP="00D66A1B">
                  <w:pPr>
                    <w:rPr>
                      <w:bCs/>
                      <w:sz w:val="18"/>
                      <w:szCs w:val="18"/>
                    </w:rPr>
                  </w:pPr>
                  <w:r w:rsidRPr="00A14BBF">
                    <w:rPr>
                      <w:bCs/>
                      <w:sz w:val="18"/>
                      <w:szCs w:val="18"/>
                    </w:rPr>
                    <w:t xml:space="preserve">Cílový stav rok 2020 a dále 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72333" w:rsidRPr="00A14BBF" w:rsidRDefault="008C12E6" w:rsidP="00D66A1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14BBF">
                    <w:rPr>
                      <w:bCs/>
                      <w:sz w:val="18"/>
                      <w:szCs w:val="18"/>
                    </w:rPr>
                    <w:t>80 %</w:t>
                  </w:r>
                </w:p>
              </w:tc>
            </w:tr>
          </w:tbl>
          <w:p w:rsidR="00A72333" w:rsidRPr="00A14BBF" w:rsidRDefault="00A72333" w:rsidP="00055C33"/>
        </w:tc>
      </w:tr>
      <w:tr w:rsidR="007E5173" w:rsidTr="000B36E1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D66A1B">
            <w:pPr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vAlign w:val="center"/>
          </w:tcPr>
          <w:p w:rsidR="004373CB" w:rsidRPr="00A14BBF" w:rsidRDefault="008C12E6" w:rsidP="00376BD1">
            <w:pPr>
              <w:spacing w:line="276" w:lineRule="auto"/>
              <w:outlineLvl w:val="8"/>
              <w:rPr>
                <w:b/>
              </w:rPr>
            </w:pPr>
            <w:r w:rsidRPr="00A14BBF">
              <w:rPr>
                <w:b/>
              </w:rPr>
              <w:t xml:space="preserve">Cíl plněn. </w:t>
            </w:r>
          </w:p>
          <w:p w:rsidR="00376BD1" w:rsidRPr="00A14BBF" w:rsidRDefault="008C12E6" w:rsidP="00055C33">
            <w:pPr>
              <w:spacing w:line="276" w:lineRule="auto"/>
              <w:outlineLvl w:val="8"/>
              <w:rPr>
                <w:b/>
              </w:rPr>
            </w:pPr>
            <w:r w:rsidRPr="00A14BBF">
              <w:t>Z</w:t>
            </w:r>
            <w:r w:rsidR="001A4F2C" w:rsidRPr="00A14BBF">
              <w:t>pětn</w:t>
            </w:r>
            <w:r w:rsidRPr="00A14BBF">
              <w:t xml:space="preserve">ý </w:t>
            </w:r>
            <w:r w:rsidR="001A4F2C" w:rsidRPr="00A14BBF">
              <w:t xml:space="preserve">odběru pneumatik </w:t>
            </w:r>
            <w:r w:rsidRPr="00A14BBF">
              <w:t xml:space="preserve">dosáhl </w:t>
            </w:r>
            <w:r w:rsidR="001A4F2C" w:rsidRPr="00A14BBF">
              <w:t>v roce 201</w:t>
            </w:r>
            <w:r w:rsidRPr="00A14BBF">
              <w:t>9</w:t>
            </w:r>
            <w:r w:rsidR="001A4F2C" w:rsidRPr="00A14BBF">
              <w:t xml:space="preserve"> </w:t>
            </w:r>
            <w:r w:rsidRPr="00A14BBF">
              <w:t xml:space="preserve">- 74,1 % a v roce 2020 vzrostl až na 82,3 </w:t>
            </w:r>
            <w:r w:rsidR="001A4F2C" w:rsidRPr="00A14BBF">
              <w:t>%</w:t>
            </w:r>
            <w:r w:rsidRPr="00A14BBF">
              <w:t>.</w:t>
            </w:r>
            <w:r w:rsidR="001A4F2C" w:rsidRPr="00A14BBF">
              <w:t xml:space="preserve"> </w:t>
            </w:r>
            <w:r w:rsidRPr="00A14BBF">
              <w:t xml:space="preserve">Cíl se podařilo překročit. </w:t>
            </w:r>
          </w:p>
        </w:tc>
      </w:tr>
    </w:tbl>
    <w:p w:rsidR="002E3134" w:rsidRPr="00A14BBF" w:rsidRDefault="002E3134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4E33B0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t>3.3.1.6.5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 xml:space="preserve">Dosahovat vysoké míry využití při zpracování odpadních pneumatik. </w:t>
            </w:r>
          </w:p>
        </w:tc>
      </w:tr>
      <w:tr w:rsidR="007E5173" w:rsidTr="0016482F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lastRenderedPageBreak/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5228" w:rsidRPr="00A14BBF" w:rsidRDefault="008C12E6" w:rsidP="00885228">
            <w:pPr>
              <w:rPr>
                <w:b/>
              </w:rPr>
            </w:pPr>
            <w:r w:rsidRPr="00A14BBF">
              <w:rPr>
                <w:b/>
              </w:rPr>
              <w:t>Cíl plněn</w:t>
            </w:r>
            <w:r w:rsidR="00EC142F" w:rsidRPr="00A14BBF">
              <w:rPr>
                <w:b/>
              </w:rPr>
              <w:t xml:space="preserve">. </w:t>
            </w:r>
            <w:r w:rsidRPr="00A14BBF">
              <w:rPr>
                <w:b/>
              </w:rPr>
              <w:t xml:space="preserve"> </w:t>
            </w:r>
          </w:p>
          <w:p w:rsidR="00055C33" w:rsidRPr="00A14BBF" w:rsidRDefault="008C12E6" w:rsidP="00FB7FD2">
            <w:pPr>
              <w:spacing w:after="120" w:line="276" w:lineRule="auto"/>
            </w:pPr>
            <w:r w:rsidRPr="00A14BBF">
              <w:t xml:space="preserve">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bylo dosahováno </w:t>
            </w:r>
            <w:r w:rsidR="002C1D2C" w:rsidRPr="00A14BBF">
              <w:t xml:space="preserve">velmi </w:t>
            </w:r>
            <w:r w:rsidRPr="00A14BBF">
              <w:t xml:space="preserve">vysoké míry </w:t>
            </w:r>
            <w:r w:rsidRPr="00A14BBF">
              <w:t>využití při zpracování odpadních pneumatik (</w:t>
            </w:r>
            <w:r w:rsidR="00FB7FD2" w:rsidRPr="00A14BBF">
              <w:t>až 100</w:t>
            </w:r>
            <w:r w:rsidRPr="00A14BBF">
              <w:t xml:space="preserve"> %).</w:t>
            </w:r>
          </w:p>
        </w:tc>
      </w:tr>
    </w:tbl>
    <w:p w:rsidR="00D66A1B" w:rsidRPr="00A14BBF" w:rsidRDefault="00D66A1B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FB7FD2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t>3.3.1.6.5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A14BBF">
              <w:rPr>
                <w:b/>
              </w:rPr>
              <w:t>Od roku 201</w:t>
            </w:r>
            <w:r w:rsidR="008561F4" w:rsidRPr="00A14BBF">
              <w:rPr>
                <w:b/>
              </w:rPr>
              <w:t>8</w:t>
            </w:r>
            <w:r w:rsidRPr="00A14BBF">
              <w:rPr>
                <w:b/>
              </w:rPr>
              <w:t xml:space="preserve"> a dále dosáhnout požadovaných % pro využití, recyklaci a opětovné použití při zpracování odpadních pneumatik</w:t>
            </w:r>
            <w:r w:rsidR="00BC27F5" w:rsidRPr="00A14BBF">
              <w:rPr>
                <w:b/>
              </w:rPr>
              <w:t>.</w:t>
            </w:r>
            <w:r w:rsidRPr="00A14BBF">
              <w:rPr>
                <w:b/>
              </w:rPr>
              <w:t xml:space="preserve"> </w:t>
            </w:r>
            <w:r w:rsidRPr="00A14BBF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  <w:p w:rsidR="00836F1A" w:rsidRPr="00A14BBF" w:rsidRDefault="008C12E6" w:rsidP="002C1D2C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>Využití pro rok 201</w:t>
            </w:r>
            <w:r w:rsidR="008561F4" w:rsidRPr="00A14BBF">
              <w:rPr>
                <w:b/>
              </w:rPr>
              <w:t>8</w:t>
            </w:r>
            <w:r w:rsidRPr="00A14BBF">
              <w:rPr>
                <w:b/>
              </w:rPr>
              <w:t xml:space="preserve"> a dále </w:t>
            </w:r>
            <w:r w:rsidR="002C1D2C" w:rsidRPr="00A14BBF">
              <w:rPr>
                <w:b/>
              </w:rPr>
              <w:t>-</w:t>
            </w:r>
            <w:r w:rsidRPr="00A14BBF">
              <w:rPr>
                <w:b/>
              </w:rPr>
              <w:t xml:space="preserve"> 100 %.</w:t>
            </w:r>
            <w:r w:rsidRPr="00A14BBF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7E5173" w:rsidTr="00FB7FD2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F1A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 xml:space="preserve">Hodnocení stavu </w:t>
            </w:r>
            <w:r w:rsidRPr="00A14BBF">
              <w:rPr>
                <w:b/>
              </w:rPr>
              <w:t>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247E" w:rsidRPr="00A14BBF" w:rsidRDefault="008C12E6" w:rsidP="009D247E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</w:t>
            </w:r>
            <w:r w:rsidR="00FB7FD2" w:rsidRPr="00A14BBF">
              <w:rPr>
                <w:rFonts w:cstheme="minorHAnsi"/>
                <w:b/>
              </w:rPr>
              <w:t>.</w:t>
            </w:r>
          </w:p>
          <w:p w:rsidR="00FB7FD2" w:rsidRPr="00A14BBF" w:rsidRDefault="008C12E6" w:rsidP="00FB7FD2">
            <w:pPr>
              <w:spacing w:line="276" w:lineRule="auto"/>
            </w:pPr>
            <w:r w:rsidRPr="00A14BBF">
              <w:t>V</w:t>
            </w:r>
            <w:r w:rsidR="00A80E95" w:rsidRPr="00A14BBF">
              <w:t>yužití p</w:t>
            </w:r>
            <w:r w:rsidRPr="00A14BBF">
              <w:t>ři</w:t>
            </w:r>
            <w:r w:rsidR="00A80E95" w:rsidRPr="00A14BBF">
              <w:t xml:space="preserve"> zpracování odpadních pneumatik byl</w:t>
            </w:r>
            <w:r w:rsidRPr="00A14BBF">
              <w:t>o</w:t>
            </w:r>
            <w:r w:rsidR="00A80E95" w:rsidRPr="00A14BBF">
              <w:t xml:space="preserve"> v roce </w:t>
            </w:r>
            <w:proofErr w:type="gramStart"/>
            <w:r w:rsidR="00A80E95" w:rsidRPr="00A14BBF">
              <w:t>201</w:t>
            </w:r>
            <w:r w:rsidR="00055C33" w:rsidRPr="00A14BBF">
              <w:t>9</w:t>
            </w:r>
            <w:r w:rsidR="00A80E95" w:rsidRPr="00A14BBF">
              <w:t xml:space="preserve"> </w:t>
            </w:r>
            <w:r w:rsidRPr="00A14BBF">
              <w:t>- 100</w:t>
            </w:r>
            <w:proofErr w:type="gramEnd"/>
            <w:r w:rsidR="00A80E95" w:rsidRPr="00A14BBF">
              <w:t xml:space="preserve"> % a</w:t>
            </w:r>
            <w:r w:rsidRPr="00A14BBF">
              <w:t> </w:t>
            </w:r>
            <w:r w:rsidR="00A80E95" w:rsidRPr="00A14BBF">
              <w:t>v roce 20</w:t>
            </w:r>
            <w:r w:rsidR="00055C33" w:rsidRPr="00A14BBF">
              <w:t>20</w:t>
            </w:r>
            <w:r w:rsidRPr="00A14BBF">
              <w:t xml:space="preserve"> také 100</w:t>
            </w:r>
            <w:r w:rsidR="00A80E95" w:rsidRPr="00A14BBF">
              <w:t xml:space="preserve"> %. </w:t>
            </w:r>
            <w:r w:rsidRPr="00A14BBF">
              <w:t xml:space="preserve">Bylo dosaženo ambiciózního cíle využití. </w:t>
            </w:r>
          </w:p>
        </w:tc>
      </w:tr>
    </w:tbl>
    <w:p w:rsidR="009942C4" w:rsidRPr="00A14BBF" w:rsidRDefault="009942C4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F53815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t>3.3.1.7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3365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>Podporovat technologie využívání kalů z čistíren komunálních odpadních vod.</w:t>
            </w:r>
          </w:p>
        </w:tc>
      </w:tr>
      <w:tr w:rsidR="007E5173" w:rsidTr="0016482F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85084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5084" w:rsidRPr="00A14BBF" w:rsidRDefault="008C12E6" w:rsidP="00B91573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plněn.</w:t>
            </w:r>
          </w:p>
          <w:p w:rsidR="00DE20AE" w:rsidRPr="00A14BBF" w:rsidRDefault="008C12E6" w:rsidP="00DE20AE">
            <w:pPr>
              <w:spacing w:line="276" w:lineRule="auto"/>
              <w:rPr>
                <w:bCs/>
              </w:rPr>
            </w:pPr>
            <w:r w:rsidRPr="00A14BBF">
              <w:rPr>
                <w:bCs/>
              </w:rPr>
              <w:t xml:space="preserve">Nejčastějšími způsoby nakládání s kalem 19 08 05 z ČOV v ČR je kompostování a přímá aplikace na zemědělskou půdu, což v roce 2020 bylo 26 %. Zatím není kal 19 08 05 z ČOV nijak významně energeticky využíván, stále se </w:t>
            </w:r>
            <w:r w:rsidRPr="00A14BBF">
              <w:rPr>
                <w:bCs/>
              </w:rPr>
              <w:t>pohybuje okolo 2-3 % i v roce 2020.</w:t>
            </w:r>
          </w:p>
          <w:p w:rsidR="00B46950" w:rsidRPr="00A14BBF" w:rsidRDefault="008C12E6" w:rsidP="00991F41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bCs/>
              </w:rPr>
              <w:t>Legislativně jsou nastavena pravidla pro kompostování čistírenských kalů a použití upravených kalů na zemědělské půdě.</w:t>
            </w:r>
            <w:r w:rsidR="00A05915" w:rsidRPr="00A14BBF">
              <w:rPr>
                <w:bCs/>
              </w:rPr>
              <w:t xml:space="preserve"> Z OPŽP </w:t>
            </w:r>
            <w:r w:rsidR="00C1329D" w:rsidRPr="00A14BBF">
              <w:rPr>
                <w:bCs/>
              </w:rPr>
              <w:t>2014</w:t>
            </w:r>
            <w:r w:rsidR="00C1329D">
              <w:rPr>
                <w:bCs/>
              </w:rPr>
              <w:t>–2020</w:t>
            </w:r>
            <w:r w:rsidR="00A05915" w:rsidRPr="00A14BBF">
              <w:rPr>
                <w:bCs/>
              </w:rPr>
              <w:t xml:space="preserve"> </w:t>
            </w:r>
            <w:r w:rsidR="00991F41" w:rsidRPr="00A14BBF">
              <w:rPr>
                <w:bCs/>
              </w:rPr>
              <w:t>byla</w:t>
            </w:r>
            <w:r w:rsidR="00A05915" w:rsidRPr="00A14BBF">
              <w:rPr>
                <w:bCs/>
              </w:rPr>
              <w:t xml:space="preserve"> možná p</w:t>
            </w:r>
            <w:r w:rsidRPr="00A14BBF">
              <w:rPr>
                <w:bCs/>
              </w:rPr>
              <w:t xml:space="preserve">odpora </w:t>
            </w:r>
            <w:r w:rsidR="00991F41" w:rsidRPr="00A14BBF">
              <w:rPr>
                <w:bCs/>
              </w:rPr>
              <w:t xml:space="preserve">technologií na </w:t>
            </w:r>
            <w:r w:rsidRPr="00A14BBF">
              <w:rPr>
                <w:bCs/>
              </w:rPr>
              <w:t>využití čistírenských kalů</w:t>
            </w:r>
            <w:r w:rsidR="00991F41" w:rsidRPr="00A14BBF">
              <w:rPr>
                <w:bCs/>
              </w:rPr>
              <w:t>. V letech 2019 a</w:t>
            </w:r>
            <w:r w:rsidR="006F1971" w:rsidRPr="00A14BBF">
              <w:rPr>
                <w:bCs/>
              </w:rPr>
              <w:t> </w:t>
            </w:r>
            <w:r w:rsidR="00991F41" w:rsidRPr="00A14BBF">
              <w:rPr>
                <w:bCs/>
              </w:rPr>
              <w:t xml:space="preserve">2020 probíhaly zejména investice do </w:t>
            </w:r>
            <w:proofErr w:type="spellStart"/>
            <w:r w:rsidR="00991F41" w:rsidRPr="00A14BBF">
              <w:rPr>
                <w:bCs/>
              </w:rPr>
              <w:t>hygienizačních</w:t>
            </w:r>
            <w:proofErr w:type="spellEnd"/>
            <w:r w:rsidR="00991F41" w:rsidRPr="00A14BBF">
              <w:rPr>
                <w:bCs/>
              </w:rPr>
              <w:t xml:space="preserve"> jednotek a s touto podporou se počítá i v dalším období</w:t>
            </w:r>
            <w:r w:rsidR="00A05915" w:rsidRPr="00A14BBF">
              <w:rPr>
                <w:bCs/>
              </w:rPr>
              <w:t>.</w:t>
            </w:r>
            <w:r w:rsidR="00991F41" w:rsidRPr="00A14BBF">
              <w:rPr>
                <w:bCs/>
              </w:rPr>
              <w:t xml:space="preserve"> </w:t>
            </w:r>
          </w:p>
        </w:tc>
      </w:tr>
    </w:tbl>
    <w:p w:rsidR="00F93365" w:rsidRPr="00A14BBF" w:rsidRDefault="00F93365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7A36B2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33.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t>3.3.1.8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/>
              </w:rPr>
              <w:t xml:space="preserve">Zvyšovat materiálové a energetické využití odpadních olejů. </w:t>
            </w:r>
          </w:p>
        </w:tc>
      </w:tr>
      <w:tr w:rsidR="007E5173" w:rsidTr="0016482F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85084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9281C" w:rsidRPr="00A14BBF" w:rsidRDefault="008C12E6" w:rsidP="0019281C">
            <w:pPr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b/>
                <w:szCs w:val="24"/>
              </w:rPr>
              <w:t>Cíl plněn částečně</w:t>
            </w:r>
            <w:r w:rsidR="007E3796" w:rsidRPr="00A14BBF">
              <w:rPr>
                <w:rFonts w:cstheme="minorHAnsi"/>
                <w:b/>
                <w:szCs w:val="24"/>
              </w:rPr>
              <w:t>.</w:t>
            </w:r>
            <w:r w:rsidRPr="00A14BBF">
              <w:rPr>
                <w:rFonts w:cstheme="minorHAnsi"/>
                <w:szCs w:val="24"/>
              </w:rPr>
              <w:t xml:space="preserve"> </w:t>
            </w:r>
          </w:p>
          <w:p w:rsidR="003176FD" w:rsidRPr="00A14BBF" w:rsidRDefault="008C12E6" w:rsidP="002612EE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szCs w:val="24"/>
              </w:rPr>
              <w:t xml:space="preserve">Většina odpadních olejů </w:t>
            </w:r>
            <w:r w:rsidRPr="00A14BBF">
              <w:rPr>
                <w:rFonts w:cstheme="minorHAnsi"/>
                <w:szCs w:val="24"/>
              </w:rPr>
              <w:t>je materiálově využita</w:t>
            </w:r>
            <w:r w:rsidR="002612EE" w:rsidRPr="00A14BBF">
              <w:rPr>
                <w:rFonts w:cstheme="minorHAnsi"/>
                <w:szCs w:val="24"/>
              </w:rPr>
              <w:t xml:space="preserve">, </w:t>
            </w:r>
            <w:r w:rsidRPr="00A14BBF">
              <w:rPr>
                <w:rFonts w:cstheme="minorHAnsi"/>
                <w:szCs w:val="24"/>
              </w:rPr>
              <w:t xml:space="preserve">v roce 2020 </w:t>
            </w:r>
            <w:r w:rsidR="002612EE" w:rsidRPr="00A14BBF">
              <w:rPr>
                <w:rFonts w:cstheme="minorHAnsi"/>
                <w:szCs w:val="24"/>
              </w:rPr>
              <w:t xml:space="preserve">to bylo </w:t>
            </w:r>
            <w:r w:rsidRPr="00A14BBF">
              <w:rPr>
                <w:rFonts w:cstheme="minorHAnsi"/>
                <w:szCs w:val="24"/>
              </w:rPr>
              <w:t>65 %</w:t>
            </w:r>
            <w:r w:rsidR="002612EE" w:rsidRPr="00A14BBF">
              <w:rPr>
                <w:rFonts w:cstheme="minorHAnsi"/>
                <w:szCs w:val="24"/>
              </w:rPr>
              <w:t xml:space="preserve"> a v roce </w:t>
            </w:r>
            <w:proofErr w:type="gramStart"/>
            <w:r w:rsidR="002612EE" w:rsidRPr="00A14BBF">
              <w:rPr>
                <w:rFonts w:cstheme="minorHAnsi"/>
                <w:szCs w:val="24"/>
              </w:rPr>
              <w:t>2019 - 81</w:t>
            </w:r>
            <w:proofErr w:type="gramEnd"/>
            <w:r w:rsidR="002612EE" w:rsidRPr="00A14BBF">
              <w:rPr>
                <w:rFonts w:cstheme="minorHAnsi"/>
                <w:szCs w:val="24"/>
              </w:rPr>
              <w:t xml:space="preserve"> %</w:t>
            </w:r>
            <w:r w:rsidRPr="00A14BBF">
              <w:rPr>
                <w:rFonts w:cstheme="minorHAnsi"/>
                <w:szCs w:val="24"/>
              </w:rPr>
              <w:t>. Zbývající odpadní oleje jsou energeticky využívány,</w:t>
            </w:r>
            <w:r w:rsidR="002612EE" w:rsidRPr="00A14BBF">
              <w:rPr>
                <w:rFonts w:cstheme="minorHAnsi"/>
                <w:szCs w:val="24"/>
              </w:rPr>
              <w:t xml:space="preserve"> v roce 2020 to bylo 7,3 % a v roce </w:t>
            </w:r>
            <w:proofErr w:type="gramStart"/>
            <w:r w:rsidRPr="00A14BBF">
              <w:rPr>
                <w:rFonts w:cstheme="minorHAnsi"/>
                <w:szCs w:val="24"/>
              </w:rPr>
              <w:t xml:space="preserve">2019 </w:t>
            </w:r>
            <w:r w:rsidR="002612EE" w:rsidRPr="00A14BBF">
              <w:rPr>
                <w:rFonts w:cstheme="minorHAnsi"/>
                <w:szCs w:val="24"/>
              </w:rPr>
              <w:t xml:space="preserve">- </w:t>
            </w:r>
            <w:r w:rsidRPr="00A14BBF">
              <w:rPr>
                <w:rFonts w:cstheme="minorHAnsi"/>
                <w:szCs w:val="24"/>
              </w:rPr>
              <w:t>17</w:t>
            </w:r>
            <w:proofErr w:type="gramEnd"/>
            <w:r w:rsidRPr="00A14BBF">
              <w:rPr>
                <w:rFonts w:cstheme="minorHAnsi"/>
                <w:szCs w:val="24"/>
              </w:rPr>
              <w:t xml:space="preserve"> %</w:t>
            </w:r>
            <w:r w:rsidR="002612EE" w:rsidRPr="00A14BBF">
              <w:rPr>
                <w:rFonts w:cstheme="minorHAnsi"/>
                <w:szCs w:val="24"/>
              </w:rPr>
              <w:t xml:space="preserve">. </w:t>
            </w:r>
            <w:r w:rsidRPr="00A14BBF">
              <w:rPr>
                <w:rFonts w:cstheme="minorHAnsi"/>
                <w:szCs w:val="24"/>
              </w:rPr>
              <w:t xml:space="preserve"> </w:t>
            </w:r>
          </w:p>
          <w:p w:rsidR="003176FD" w:rsidRPr="00A14BBF" w:rsidRDefault="008C12E6" w:rsidP="002612EE">
            <w:pPr>
              <w:spacing w:line="276" w:lineRule="auto"/>
              <w:rPr>
                <w:szCs w:val="24"/>
              </w:rPr>
            </w:pPr>
            <w:r w:rsidRPr="00A14BBF">
              <w:rPr>
                <w:rFonts w:cstheme="minorHAnsi"/>
                <w:szCs w:val="24"/>
              </w:rPr>
              <w:t xml:space="preserve">Přesto se stále ještě vyskytuje </w:t>
            </w:r>
            <w:r w:rsidRPr="00A14BBF">
              <w:rPr>
                <w:szCs w:val="24"/>
              </w:rPr>
              <w:t xml:space="preserve">nesprávné nakládání s odpadními oleji ohrožující zdraví lidí a životní prostředí např. nevhodné spalování v energetických zdrojích. </w:t>
            </w:r>
          </w:p>
          <w:p w:rsidR="003176FD" w:rsidRPr="00A14BBF" w:rsidRDefault="008C12E6" w:rsidP="002612EE">
            <w:pPr>
              <w:spacing w:line="276" w:lineRule="auto"/>
              <w:rPr>
                <w:bCs/>
              </w:rPr>
            </w:pPr>
            <w:r w:rsidRPr="00A14BBF">
              <w:rPr>
                <w:bCs/>
              </w:rPr>
              <w:t>Kontroly zařízení pro nakládání s odpadními oleji jsou pravidelně zařazovány do plánu kontrolních činností ČIŽP.</w:t>
            </w:r>
          </w:p>
          <w:p w:rsidR="003176FD" w:rsidRPr="00A14BBF" w:rsidRDefault="008C12E6" w:rsidP="002612EE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cstheme="minorHAnsi"/>
                <w:bCs/>
                <w:szCs w:val="24"/>
              </w:rPr>
              <w:t>V období 2</w:t>
            </w:r>
            <w:r w:rsidRPr="00A14BBF">
              <w:rPr>
                <w:rFonts w:cstheme="minorHAnsi"/>
                <w:bCs/>
                <w:szCs w:val="24"/>
              </w:rPr>
              <w:t xml:space="preserve">019 a 2020 byla připravena zcela nová právní úprava, která bude ještě větší důraz klást na zamezení nevhodného mísení odpadních olejů a bude oleje směřovat zejména do regenerace. </w:t>
            </w:r>
          </w:p>
        </w:tc>
      </w:tr>
    </w:tbl>
    <w:p w:rsidR="00F93365" w:rsidRPr="00A14BBF" w:rsidRDefault="00F93365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F640F6">
        <w:trPr>
          <w:trHeight w:val="93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t>3.3.1.9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3365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</w:rPr>
              <w:t xml:space="preserve">Minimalizovat negativní účinky při nakládání s odpady </w:t>
            </w:r>
            <w:r w:rsidRPr="00A14BBF">
              <w:rPr>
                <w:rFonts w:cstheme="minorHAnsi"/>
                <w:b/>
              </w:rPr>
              <w:t>ze zdravotnické a veterinární péče na lidské zdraví a životní prostředí.</w:t>
            </w:r>
          </w:p>
        </w:tc>
      </w:tr>
      <w:tr w:rsidR="007E5173" w:rsidTr="00F640F6">
        <w:trPr>
          <w:trHeight w:val="4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10991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991" w:rsidRPr="00A14BBF" w:rsidRDefault="008C12E6" w:rsidP="00CA462A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plněn.</w:t>
            </w:r>
          </w:p>
          <w:p w:rsidR="004F733C" w:rsidRPr="00A14BBF" w:rsidRDefault="008C12E6" w:rsidP="004F733C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szCs w:val="24"/>
              </w:rPr>
              <w:t xml:space="preserve">Produkce odpadů ze zdravotnictví a veterinární péče se už dlouhodobě pohybuje okolo 45 tis. t. V roce 2019 produkce byla 45,3 tis. t a v roce 2020 činila 46,4 tis. t. Mírný nárůst produkce těchto odpadů v letech </w:t>
            </w:r>
            <w:r w:rsidR="00C1329D" w:rsidRPr="00A14BBF">
              <w:rPr>
                <w:rFonts w:cstheme="minorHAnsi"/>
                <w:szCs w:val="24"/>
              </w:rPr>
              <w:t>2019</w:t>
            </w:r>
            <w:r w:rsidR="00C1329D">
              <w:rPr>
                <w:rFonts w:cstheme="minorHAnsi"/>
                <w:szCs w:val="24"/>
              </w:rPr>
              <w:t>–2020</w:t>
            </w:r>
            <w:r w:rsidRPr="00A14BBF">
              <w:rPr>
                <w:rFonts w:cstheme="minorHAnsi"/>
                <w:szCs w:val="24"/>
              </w:rPr>
              <w:t xml:space="preserve"> je způsoben pandemií COVID-19, jedná cca o 2 % zvýšení. Většina těchto odpadů je z důvodu svých vlastností nebezpečných.</w:t>
            </w:r>
          </w:p>
          <w:p w:rsidR="004F733C" w:rsidRPr="00A14BBF" w:rsidRDefault="008C12E6" w:rsidP="004F733C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szCs w:val="24"/>
              </w:rPr>
              <w:t>Na sběr a odstraňování nebezpečných odpadů ze zdravotnictví a</w:t>
            </w:r>
            <w:r w:rsidR="00044EED" w:rsidRPr="00A14BBF">
              <w:rPr>
                <w:rFonts w:cstheme="minorHAnsi"/>
                <w:szCs w:val="24"/>
              </w:rPr>
              <w:t> </w:t>
            </w:r>
            <w:r w:rsidRPr="00A14BBF">
              <w:rPr>
                <w:rFonts w:cstheme="minorHAnsi"/>
                <w:szCs w:val="24"/>
              </w:rPr>
              <w:t>veterinární péče jsou kladeny zvláštní požadavky s ohledem na prevenci i</w:t>
            </w:r>
            <w:r w:rsidRPr="00A14BBF">
              <w:rPr>
                <w:rFonts w:cstheme="minorHAnsi"/>
                <w:szCs w:val="24"/>
              </w:rPr>
              <w:t>nfekce. Tyto odpady jsou odstraňovány zejména spalováním ve spalovnách nebezpečných odpadů cca 80 %, část odpadů je skládkována.</w:t>
            </w:r>
          </w:p>
          <w:p w:rsidR="00B02667" w:rsidRPr="00A14BBF" w:rsidRDefault="008C12E6" w:rsidP="004F733C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szCs w:val="24"/>
              </w:rPr>
              <w:t xml:space="preserve">Legislativně a metodicky jsou nastavena pravidla pro nakládání s odpady </w:t>
            </w:r>
            <w:r w:rsidRPr="00A14BBF">
              <w:rPr>
                <w:rFonts w:cstheme="minorHAnsi"/>
              </w:rPr>
              <w:t>ze zdravotnické a veterinární péče. Jsou minimalizovány</w:t>
            </w:r>
            <w:r w:rsidRPr="00A14BBF">
              <w:rPr>
                <w:rFonts w:cstheme="minorHAnsi"/>
              </w:rPr>
              <w:t xml:space="preserve"> negativní účinky při nakládání s nimi.</w:t>
            </w:r>
          </w:p>
        </w:tc>
      </w:tr>
    </w:tbl>
    <w:p w:rsidR="008621DF" w:rsidRPr="00A14BBF" w:rsidRDefault="008621DF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7A36B2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35.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t>3.3.2.1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Předat veškerá zařízení a odpady s obsahem p</w:t>
            </w:r>
            <w:r w:rsidRPr="00A14BBF">
              <w:rPr>
                <w:rFonts w:cstheme="minorHAnsi"/>
                <w:b/>
                <w:bCs/>
                <w:color w:val="000000"/>
              </w:rPr>
              <w:t>olychlorovaných bifenylů</w:t>
            </w:r>
            <w:r w:rsidRPr="00A14BBF">
              <w:rPr>
                <w:rFonts w:cstheme="minorHAnsi"/>
                <w:b/>
                <w:color w:val="000000"/>
              </w:rPr>
              <w:t xml:space="preserve"> do konce roku 2025 oprávněným osobám, nebo zařízení, a odpady s obsahem p</w:t>
            </w:r>
            <w:r w:rsidRPr="00A14BBF">
              <w:rPr>
                <w:rFonts w:cstheme="minorHAnsi"/>
                <w:b/>
                <w:bCs/>
                <w:color w:val="000000"/>
              </w:rPr>
              <w:t>olychlorovaných bifenylů</w:t>
            </w:r>
            <w:r w:rsidRPr="00A14BBF">
              <w:rPr>
                <w:rFonts w:cstheme="minorHAnsi"/>
                <w:b/>
                <w:color w:val="000000"/>
              </w:rPr>
              <w:t xml:space="preserve"> do této doby dekontaminovat. </w:t>
            </w:r>
          </w:p>
        </w:tc>
      </w:tr>
      <w:tr w:rsidR="007E5173" w:rsidTr="0016482F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E6F02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E6F02" w:rsidRPr="00A14BBF" w:rsidRDefault="008C12E6" w:rsidP="00FA7B67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 částečně.</w:t>
            </w:r>
          </w:p>
          <w:p w:rsidR="00432A63" w:rsidRPr="00A14BBF" w:rsidRDefault="008C12E6" w:rsidP="00765826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</w:rPr>
              <w:t xml:space="preserve">Každoročně je </w:t>
            </w:r>
            <w:r w:rsidRPr="00A14BBF">
              <w:rPr>
                <w:rFonts w:cstheme="minorHAnsi"/>
                <w:szCs w:val="24"/>
              </w:rPr>
              <w:t xml:space="preserve">prováděn monitoring a reporting počtu zařízení obsahujících PCB. </w:t>
            </w:r>
            <w:r w:rsidR="00C604AA" w:rsidRPr="00A14BBF">
              <w:rPr>
                <w:rFonts w:cstheme="minorHAnsi"/>
                <w:szCs w:val="24"/>
              </w:rPr>
              <w:t>K 31. 12. 201</w:t>
            </w:r>
            <w:r w:rsidR="00A301E6" w:rsidRPr="00A14BBF">
              <w:rPr>
                <w:rFonts w:cstheme="minorHAnsi"/>
                <w:szCs w:val="24"/>
              </w:rPr>
              <w:t>9</w:t>
            </w:r>
            <w:r w:rsidR="00C604AA" w:rsidRPr="00A14BBF">
              <w:rPr>
                <w:rFonts w:cstheme="minorHAnsi"/>
                <w:szCs w:val="24"/>
              </w:rPr>
              <w:t xml:space="preserve"> bylo evidováno v ČR </w:t>
            </w:r>
            <w:r w:rsidR="00A301E6" w:rsidRPr="00A14BBF">
              <w:rPr>
                <w:rFonts w:cstheme="minorHAnsi"/>
                <w:szCs w:val="24"/>
              </w:rPr>
              <w:t>18 967 kusů</w:t>
            </w:r>
            <w:r w:rsidR="00C604AA" w:rsidRPr="00A14BBF">
              <w:rPr>
                <w:rFonts w:cstheme="minorHAnsi"/>
                <w:szCs w:val="24"/>
              </w:rPr>
              <w:t xml:space="preserve"> provozovaných zařízení s možným obsahem PCB. K 31. 12. 20</w:t>
            </w:r>
            <w:r w:rsidR="00A301E6" w:rsidRPr="00A14BBF">
              <w:rPr>
                <w:rFonts w:cstheme="minorHAnsi"/>
                <w:szCs w:val="24"/>
              </w:rPr>
              <w:t>20</w:t>
            </w:r>
            <w:r w:rsidR="00C604AA" w:rsidRPr="00A14BBF">
              <w:rPr>
                <w:rFonts w:cstheme="minorHAnsi"/>
                <w:szCs w:val="24"/>
              </w:rPr>
              <w:t xml:space="preserve"> bylo evidováno v ČR </w:t>
            </w:r>
            <w:r w:rsidR="00C604AA" w:rsidRPr="00A14BBF">
              <w:rPr>
                <w:rFonts w:cstheme="minorHAnsi"/>
                <w:bCs/>
                <w:szCs w:val="24"/>
              </w:rPr>
              <w:t>1</w:t>
            </w:r>
            <w:r w:rsidR="00A301E6" w:rsidRPr="00A14BBF">
              <w:rPr>
                <w:rFonts w:cstheme="minorHAnsi"/>
                <w:bCs/>
                <w:szCs w:val="24"/>
              </w:rPr>
              <w:t>7 635 kusů</w:t>
            </w:r>
            <w:r w:rsidR="00C604AA" w:rsidRPr="00A14BBF">
              <w:rPr>
                <w:rFonts w:cstheme="minorHAnsi"/>
                <w:bCs/>
                <w:szCs w:val="24"/>
              </w:rPr>
              <w:t> </w:t>
            </w:r>
            <w:r w:rsidR="00C604AA" w:rsidRPr="00A14BBF">
              <w:rPr>
                <w:rFonts w:cstheme="minorHAnsi"/>
                <w:szCs w:val="24"/>
              </w:rPr>
              <w:t xml:space="preserve">provozovaných zařízení s možným obsahem PCB. </w:t>
            </w:r>
          </w:p>
          <w:p w:rsidR="008A781F" w:rsidRPr="00A14BBF" w:rsidRDefault="008C12E6" w:rsidP="00A301E6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cstheme="minorHAnsi"/>
                <w:szCs w:val="24"/>
              </w:rPr>
              <w:t xml:space="preserve">Opět došlo </w:t>
            </w:r>
            <w:r w:rsidR="00907159" w:rsidRPr="00A14BBF">
              <w:rPr>
                <w:rFonts w:cstheme="minorHAnsi"/>
                <w:szCs w:val="24"/>
              </w:rPr>
              <w:t xml:space="preserve">k poklesu, přesto je počet těchto zařízení </w:t>
            </w:r>
            <w:r w:rsidRPr="00A14BBF">
              <w:rPr>
                <w:rFonts w:cstheme="minorHAnsi"/>
                <w:szCs w:val="24"/>
              </w:rPr>
              <w:t xml:space="preserve">v ČR stále </w:t>
            </w:r>
            <w:r w:rsidR="00907159" w:rsidRPr="00A14BBF">
              <w:rPr>
                <w:rFonts w:cstheme="minorHAnsi"/>
                <w:szCs w:val="24"/>
              </w:rPr>
              <w:t xml:space="preserve">vysoký. </w:t>
            </w:r>
            <w:r w:rsidRPr="00A14BBF">
              <w:rPr>
                <w:rFonts w:cstheme="minorHAnsi"/>
                <w:szCs w:val="24"/>
              </w:rPr>
              <w:t xml:space="preserve"> Zařízení postupně dosluhují a provozovatelé těchto zařízení jsou povinni změny ve skutečnostech ohlásit MŽP. </w:t>
            </w:r>
          </w:p>
        </w:tc>
      </w:tr>
    </w:tbl>
    <w:p w:rsidR="00D66A1B" w:rsidRPr="00A14BBF" w:rsidRDefault="00D66A1B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7A36B2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36.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jc w:val="center"/>
            </w:pPr>
            <w:r w:rsidRPr="00A14BBF">
              <w:t>3.3.2.1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F93365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Odstranit odpady s obsahem p</w:t>
            </w:r>
            <w:r w:rsidRPr="00A14BBF">
              <w:rPr>
                <w:rFonts w:cstheme="minorHAnsi"/>
                <w:b/>
                <w:bCs/>
                <w:color w:val="000000"/>
              </w:rPr>
              <w:t>olychlorovaných bifenylů</w:t>
            </w:r>
            <w:r w:rsidRPr="00A14BBF">
              <w:rPr>
                <w:rFonts w:cstheme="minorHAnsi"/>
                <w:b/>
                <w:color w:val="000000"/>
              </w:rPr>
              <w:t xml:space="preserve"> v držení oprávněných osob k nakládání s odpady do konce roku 2028.</w:t>
            </w:r>
          </w:p>
        </w:tc>
      </w:tr>
      <w:tr w:rsidR="007E5173" w:rsidTr="0016482F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7706D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53C67" w:rsidRPr="00A14BBF" w:rsidRDefault="008C12E6" w:rsidP="0062236C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 částečně.</w:t>
            </w:r>
          </w:p>
          <w:p w:rsidR="006973CB" w:rsidRPr="00A14BBF" w:rsidRDefault="008C12E6" w:rsidP="006973CB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</w:rPr>
              <w:t xml:space="preserve">Každoročně je </w:t>
            </w:r>
            <w:r w:rsidRPr="00A14BBF">
              <w:rPr>
                <w:rFonts w:cstheme="minorHAnsi"/>
                <w:szCs w:val="24"/>
              </w:rPr>
              <w:t xml:space="preserve">prováděn monitoring a reporting počtu zařízení obsahujících PCB. K 31. 12. 2019 bylo evidováno v ČR 18 967 kusů </w:t>
            </w:r>
            <w:r w:rsidRPr="00A14BBF">
              <w:rPr>
                <w:rFonts w:cstheme="minorHAnsi"/>
                <w:szCs w:val="24"/>
              </w:rPr>
              <w:lastRenderedPageBreak/>
              <w:t xml:space="preserve">provozovaných zařízení s možným obsahem PCB. K 31. 12. 2020 bylo evidováno v ČR </w:t>
            </w:r>
            <w:r w:rsidRPr="00A14BBF">
              <w:rPr>
                <w:rFonts w:cstheme="minorHAnsi"/>
                <w:bCs/>
                <w:szCs w:val="24"/>
              </w:rPr>
              <w:t>17 635 kusů </w:t>
            </w:r>
            <w:r w:rsidRPr="00A14BBF">
              <w:rPr>
                <w:rFonts w:cstheme="minorHAnsi"/>
                <w:szCs w:val="24"/>
              </w:rPr>
              <w:t xml:space="preserve">provozovaných zařízení s možným obsahem PCB. </w:t>
            </w:r>
          </w:p>
          <w:p w:rsidR="00907159" w:rsidRPr="00A14BBF" w:rsidRDefault="008C12E6" w:rsidP="006973CB">
            <w:pPr>
              <w:spacing w:line="276" w:lineRule="auto"/>
              <w:rPr>
                <w:rFonts w:cstheme="minorHAnsi"/>
              </w:rPr>
            </w:pPr>
            <w:r w:rsidRPr="00A14BBF">
              <w:rPr>
                <w:rFonts w:cstheme="minorHAnsi"/>
                <w:szCs w:val="24"/>
              </w:rPr>
              <w:t>Opět d</w:t>
            </w:r>
            <w:r w:rsidRPr="00A14BBF">
              <w:rPr>
                <w:rFonts w:cstheme="minorHAnsi"/>
                <w:szCs w:val="24"/>
              </w:rPr>
              <w:t xml:space="preserve">ošlo k poklesu, přesto je počet těchto zařízení v ČR stále vysoký. Provozovatelé jsou povinni ohlásit </w:t>
            </w:r>
            <w:r w:rsidR="00FC6EFD" w:rsidRPr="00A14BBF">
              <w:rPr>
                <w:rFonts w:cstheme="minorHAnsi"/>
                <w:szCs w:val="24"/>
              </w:rPr>
              <w:t xml:space="preserve">MŽP změny. </w:t>
            </w:r>
            <w:r w:rsidRPr="00A14BBF">
              <w:rPr>
                <w:rFonts w:cstheme="minorHAnsi"/>
                <w:szCs w:val="24"/>
              </w:rPr>
              <w:t xml:space="preserve"> </w:t>
            </w:r>
          </w:p>
        </w:tc>
      </w:tr>
    </w:tbl>
    <w:p w:rsidR="009942C4" w:rsidRPr="00A14BBF" w:rsidRDefault="009942C4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163DE9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6903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6903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37.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6903" w:rsidRPr="00A14BBF" w:rsidRDefault="008C12E6" w:rsidP="001C1AF2">
            <w:pPr>
              <w:spacing w:line="276" w:lineRule="auto"/>
              <w:jc w:val="center"/>
            </w:pPr>
            <w:r w:rsidRPr="00A14BBF">
              <w:t>3.3.2.2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B6903" w:rsidRPr="00A14BBF" w:rsidRDefault="008C12E6" w:rsidP="00CA462A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Zvýšit povědomí o perzistentních organických znečišťujících látkách a jejich účincích na lidské zdraví a</w:t>
            </w:r>
            <w:r w:rsidR="00CA462A" w:rsidRPr="00A14BBF">
              <w:rPr>
                <w:rFonts w:cstheme="minorHAnsi"/>
                <w:b/>
                <w:color w:val="000000"/>
              </w:rPr>
              <w:t> </w:t>
            </w:r>
            <w:r w:rsidRPr="00A14BBF">
              <w:rPr>
                <w:rFonts w:cstheme="minorHAnsi"/>
                <w:b/>
                <w:color w:val="000000"/>
              </w:rPr>
              <w:t>životní prostředí.</w:t>
            </w:r>
          </w:p>
        </w:tc>
      </w:tr>
      <w:tr w:rsidR="007E5173" w:rsidTr="002B07C3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6903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53C67" w:rsidRPr="00A14BBF" w:rsidRDefault="008C12E6" w:rsidP="00553C67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</w:t>
            </w:r>
            <w:r w:rsidR="00AA6EDD" w:rsidRPr="00A14BBF">
              <w:rPr>
                <w:rFonts w:cstheme="minorHAnsi"/>
                <w:b/>
              </w:rPr>
              <w:t>.</w:t>
            </w:r>
            <w:r w:rsidRPr="00A14BBF">
              <w:rPr>
                <w:rFonts w:cstheme="minorHAnsi"/>
                <w:b/>
              </w:rPr>
              <w:t xml:space="preserve"> </w:t>
            </w:r>
          </w:p>
          <w:p w:rsidR="00995540" w:rsidRPr="00A14BBF" w:rsidRDefault="008C12E6" w:rsidP="003A28FE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ascii="Calibri" w:hAnsi="Calibri" w:cstheme="minorHAnsi"/>
                <w:szCs w:val="24"/>
              </w:rPr>
              <w:t xml:space="preserve">Ke zvyšování povědomí o perzistentních organických znečišťujících látkách a jejich účincích na lidské zdraví a životní prostředí </w:t>
            </w:r>
            <w:r w:rsidRPr="00A14BBF">
              <w:rPr>
                <w:rFonts w:cstheme="minorHAnsi"/>
                <w:szCs w:val="24"/>
              </w:rPr>
              <w:t xml:space="preserve">přispěly činnosti MŽP a Národního centra pro toxické látky, které je součástí Centra </w:t>
            </w:r>
            <w:r w:rsidRPr="00A14BBF">
              <w:rPr>
                <w:rFonts w:cstheme="minorHAnsi"/>
                <w:szCs w:val="24"/>
              </w:rPr>
              <w:t>pro výzkum toxických látek v prostředí (RECETOX) Masarykovy univerzity v Brně. V letech 201</w:t>
            </w:r>
            <w:r w:rsidR="00E679E2" w:rsidRPr="00A14BBF">
              <w:rPr>
                <w:rFonts w:cstheme="minorHAnsi"/>
                <w:szCs w:val="24"/>
              </w:rPr>
              <w:t>9</w:t>
            </w:r>
            <w:r w:rsidRPr="00A14BBF">
              <w:rPr>
                <w:rFonts w:cstheme="minorHAnsi"/>
                <w:szCs w:val="24"/>
              </w:rPr>
              <w:t xml:space="preserve"> a 20</w:t>
            </w:r>
            <w:r w:rsidR="00E679E2" w:rsidRPr="00A14BBF">
              <w:rPr>
                <w:rFonts w:cstheme="minorHAnsi"/>
                <w:szCs w:val="24"/>
              </w:rPr>
              <w:t>20</w:t>
            </w:r>
            <w:r w:rsidRPr="00A14BBF">
              <w:rPr>
                <w:rFonts w:cstheme="minorHAnsi"/>
                <w:szCs w:val="24"/>
              </w:rPr>
              <w:t xml:space="preserve"> provádělo Národní centrum řadu osvětových aktivit s tématikou </w:t>
            </w:r>
            <w:r w:rsidR="001E312D" w:rsidRPr="00A14BBF">
              <w:rPr>
                <w:rFonts w:cstheme="minorHAnsi"/>
                <w:szCs w:val="24"/>
              </w:rPr>
              <w:t>perzistentních organických polutantů (</w:t>
            </w:r>
            <w:proofErr w:type="spellStart"/>
            <w:r w:rsidRPr="00A14BBF">
              <w:rPr>
                <w:rFonts w:cstheme="minorHAnsi"/>
                <w:szCs w:val="24"/>
              </w:rPr>
              <w:t>POPs</w:t>
            </w:r>
            <w:proofErr w:type="spellEnd"/>
            <w:r w:rsidR="001E312D" w:rsidRPr="00A14BBF">
              <w:rPr>
                <w:rFonts w:cstheme="minorHAnsi"/>
                <w:szCs w:val="24"/>
              </w:rPr>
              <w:t>)</w:t>
            </w:r>
            <w:r w:rsidRPr="00A14BBF">
              <w:rPr>
                <w:rFonts w:cstheme="minorHAnsi"/>
                <w:szCs w:val="24"/>
              </w:rPr>
              <w:t>.</w:t>
            </w:r>
            <w:r w:rsidR="007F51FF" w:rsidRPr="00A14BBF">
              <w:rPr>
                <w:rFonts w:cstheme="minorHAnsi"/>
                <w:szCs w:val="24"/>
              </w:rPr>
              <w:t xml:space="preserve"> Byly realizovány projekty </w:t>
            </w:r>
            <w:r w:rsidR="001E312D" w:rsidRPr="00A14BBF">
              <w:rPr>
                <w:rFonts w:cstheme="minorHAnsi"/>
                <w:szCs w:val="24"/>
              </w:rPr>
              <w:t xml:space="preserve">pro </w:t>
            </w:r>
            <w:r w:rsidR="007F51FF" w:rsidRPr="00A14BBF">
              <w:rPr>
                <w:rFonts w:cstheme="minorHAnsi"/>
                <w:szCs w:val="24"/>
              </w:rPr>
              <w:t xml:space="preserve">sledování </w:t>
            </w:r>
            <w:proofErr w:type="spellStart"/>
            <w:r w:rsidR="007F51FF" w:rsidRPr="00A14BBF">
              <w:rPr>
                <w:rFonts w:cstheme="minorHAnsi"/>
                <w:szCs w:val="24"/>
              </w:rPr>
              <w:t>POPs</w:t>
            </w:r>
            <w:proofErr w:type="spellEnd"/>
            <w:r w:rsidR="001E312D" w:rsidRPr="00A14BBF">
              <w:rPr>
                <w:rFonts w:cstheme="minorHAnsi"/>
                <w:szCs w:val="24"/>
              </w:rPr>
              <w:t xml:space="preserve"> v životním prostředí</w:t>
            </w:r>
            <w:r w:rsidR="007F51FF" w:rsidRPr="00A14BBF">
              <w:rPr>
                <w:rFonts w:cstheme="minorHAnsi"/>
                <w:szCs w:val="24"/>
              </w:rPr>
              <w:t xml:space="preserve">. </w:t>
            </w:r>
            <w:r w:rsidR="008F575B" w:rsidRPr="00A14BBF">
              <w:rPr>
                <w:bCs/>
              </w:rPr>
              <w:t>V praxi je používán metodický návod MŽP (2016) v oblasti nakládání s odpady z extrudovaného polystyrenu s obsahem HBCDD.</w:t>
            </w:r>
          </w:p>
        </w:tc>
      </w:tr>
    </w:tbl>
    <w:p w:rsidR="00D66A1B" w:rsidRPr="00A14BBF" w:rsidRDefault="00D66A1B" w:rsidP="001C1AF2">
      <w:pPr>
        <w:spacing w:line="276" w:lineRule="auto"/>
      </w:pPr>
    </w:p>
    <w:tbl>
      <w:tblPr>
        <w:tblpPr w:leftFromText="141" w:rightFromText="141" w:vertAnchor="text" w:tblpXSpec="center" w:tblpY="1"/>
        <w:tblOverlap w:val="never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1134"/>
        <w:gridCol w:w="5386"/>
      </w:tblGrid>
      <w:tr w:rsidR="007E5173" w:rsidTr="00670414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114B4" w:rsidRPr="00A14BBF" w:rsidRDefault="008C12E6" w:rsidP="00B12240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114B4" w:rsidRPr="00A14BBF" w:rsidRDefault="008C12E6" w:rsidP="00B12240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38.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114B4" w:rsidRPr="00A14BBF" w:rsidRDefault="008C12E6" w:rsidP="00B12240">
            <w:pPr>
              <w:spacing w:line="276" w:lineRule="auto"/>
              <w:jc w:val="center"/>
            </w:pPr>
            <w:r w:rsidRPr="00A14BBF">
              <w:t>3.3.2.2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7114B4" w:rsidRPr="00A14BBF" w:rsidRDefault="008C12E6" w:rsidP="00B12240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 xml:space="preserve">Kontrolovat výskyt perzistentních organických znečišťujících látek zejména u odpadů uvedených </w:t>
            </w:r>
            <w:r w:rsidRPr="00A14BBF">
              <w:rPr>
                <w:rFonts w:cstheme="minorHAnsi"/>
                <w:b/>
                <w:color w:val="000000"/>
              </w:rPr>
              <w:t>v příloze V nařízení Evropského parlamentu a Rady (ES) č. 850/2004 o perzistentn</w:t>
            </w:r>
            <w:r w:rsidRPr="00A14BBF">
              <w:rPr>
                <w:rFonts w:cstheme="minorHAnsi" w:hint="eastAsia"/>
                <w:b/>
                <w:color w:val="000000"/>
              </w:rPr>
              <w:t>í</w:t>
            </w:r>
            <w:r w:rsidRPr="00A14BBF">
              <w:rPr>
                <w:rFonts w:cstheme="minorHAnsi"/>
                <w:b/>
                <w:color w:val="000000"/>
              </w:rPr>
              <w:t>ch organick</w:t>
            </w:r>
            <w:r w:rsidRPr="00A14BBF">
              <w:rPr>
                <w:rFonts w:cstheme="minorHAnsi" w:hint="eastAsia"/>
                <w:b/>
                <w:color w:val="000000"/>
              </w:rPr>
              <w:t>ý</w:t>
            </w:r>
            <w:r w:rsidRPr="00A14BBF">
              <w:rPr>
                <w:rFonts w:cstheme="minorHAnsi"/>
                <w:b/>
                <w:color w:val="000000"/>
              </w:rPr>
              <w:t>ch zne</w:t>
            </w:r>
            <w:r w:rsidRPr="00A14BBF">
              <w:rPr>
                <w:rFonts w:cstheme="minorHAnsi" w:hint="eastAsia"/>
                <w:b/>
                <w:color w:val="000000"/>
              </w:rPr>
              <w:t>č</w:t>
            </w:r>
            <w:r w:rsidRPr="00A14BBF">
              <w:rPr>
                <w:rFonts w:cstheme="minorHAnsi"/>
                <w:b/>
                <w:color w:val="000000"/>
              </w:rPr>
              <w:t>i</w:t>
            </w:r>
            <w:r w:rsidRPr="00A14BBF">
              <w:rPr>
                <w:rFonts w:cstheme="minorHAnsi" w:hint="eastAsia"/>
                <w:b/>
                <w:color w:val="000000"/>
              </w:rPr>
              <w:t>šť</w:t>
            </w:r>
            <w:r w:rsidRPr="00A14BBF">
              <w:rPr>
                <w:rFonts w:cstheme="minorHAnsi"/>
                <w:b/>
                <w:color w:val="000000"/>
              </w:rPr>
              <w:t>uj</w:t>
            </w:r>
            <w:r w:rsidRPr="00A14BBF">
              <w:rPr>
                <w:rFonts w:cstheme="minorHAnsi" w:hint="eastAsia"/>
                <w:b/>
                <w:color w:val="000000"/>
              </w:rPr>
              <w:t>í</w:t>
            </w:r>
            <w:r w:rsidRPr="00A14BBF">
              <w:rPr>
                <w:rFonts w:cstheme="minorHAnsi"/>
                <w:b/>
                <w:color w:val="000000"/>
              </w:rPr>
              <w:t>c</w:t>
            </w:r>
            <w:r w:rsidRPr="00A14BBF">
              <w:rPr>
                <w:rFonts w:cstheme="minorHAnsi" w:hint="eastAsia"/>
                <w:b/>
                <w:color w:val="000000"/>
              </w:rPr>
              <w:t>í</w:t>
            </w:r>
            <w:r w:rsidRPr="00A14BBF">
              <w:rPr>
                <w:rFonts w:cstheme="minorHAnsi"/>
                <w:b/>
                <w:color w:val="000000"/>
              </w:rPr>
              <w:t>ch l</w:t>
            </w:r>
            <w:r w:rsidRPr="00A14BBF">
              <w:rPr>
                <w:rFonts w:cstheme="minorHAnsi" w:hint="eastAsia"/>
                <w:b/>
                <w:color w:val="000000"/>
              </w:rPr>
              <w:t>á</w:t>
            </w:r>
            <w:r w:rsidRPr="00A14BBF">
              <w:rPr>
                <w:rFonts w:cstheme="minorHAnsi"/>
                <w:b/>
                <w:color w:val="000000"/>
              </w:rPr>
              <w:t>tk</w:t>
            </w:r>
            <w:r w:rsidRPr="00A14BBF">
              <w:rPr>
                <w:rFonts w:cstheme="minorHAnsi" w:hint="eastAsia"/>
                <w:b/>
                <w:color w:val="000000"/>
              </w:rPr>
              <w:t>á</w:t>
            </w:r>
            <w:r w:rsidRPr="00A14BBF">
              <w:rPr>
                <w:rFonts w:cstheme="minorHAnsi"/>
                <w:b/>
                <w:color w:val="000000"/>
              </w:rPr>
              <w:t xml:space="preserve">ch ve znění nařízení Komise (EU) č. 756/2010. </w:t>
            </w:r>
          </w:p>
        </w:tc>
      </w:tr>
      <w:tr w:rsidR="007E5173" w:rsidTr="00670414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114B4" w:rsidRPr="00A14BBF" w:rsidRDefault="008C12E6" w:rsidP="00B12240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114B4" w:rsidRPr="00A14BBF" w:rsidRDefault="008C12E6" w:rsidP="00B12240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 xml:space="preserve">Cíl </w:t>
            </w:r>
            <w:r w:rsidR="00D30599" w:rsidRPr="00A14BBF">
              <w:rPr>
                <w:rFonts w:cstheme="minorHAnsi"/>
                <w:b/>
              </w:rPr>
              <w:t>plněn částečně</w:t>
            </w:r>
            <w:r w:rsidRPr="00A14BBF">
              <w:rPr>
                <w:rFonts w:cstheme="minorHAnsi"/>
                <w:b/>
                <w:color w:val="000000"/>
              </w:rPr>
              <w:t xml:space="preserve">. </w:t>
            </w:r>
          </w:p>
          <w:p w:rsidR="00793EF4" w:rsidRPr="00A14BBF" w:rsidRDefault="008C12E6" w:rsidP="002B07C3">
            <w:pPr>
              <w:spacing w:line="276" w:lineRule="auto"/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color w:val="000000"/>
              </w:rPr>
              <w:t>Výskyt perzistentních organických znečišťujících látek (zejména</w:t>
            </w:r>
            <w:r w:rsidR="00EC183E" w:rsidRPr="00A14BBF">
              <w:rPr>
                <w:rFonts w:cstheme="minorHAnsi"/>
                <w:color w:val="000000"/>
              </w:rPr>
              <w:t xml:space="preserve"> </w:t>
            </w:r>
            <w:r w:rsidRPr="00A14BBF">
              <w:rPr>
                <w:rFonts w:cstheme="minorHAnsi"/>
                <w:color w:val="000000"/>
              </w:rPr>
              <w:t>v odpadech) uvedených v příloze V nařízení (EU) 2019/1021 o perzistentn</w:t>
            </w:r>
            <w:r w:rsidRPr="00A14BBF">
              <w:rPr>
                <w:rFonts w:cstheme="minorHAnsi" w:hint="eastAsia"/>
                <w:color w:val="000000"/>
              </w:rPr>
              <w:t>í</w:t>
            </w:r>
            <w:r w:rsidRPr="00A14BBF">
              <w:rPr>
                <w:rFonts w:cstheme="minorHAnsi"/>
                <w:color w:val="000000"/>
              </w:rPr>
              <w:t>ch organick</w:t>
            </w:r>
            <w:r w:rsidRPr="00A14BBF">
              <w:rPr>
                <w:rFonts w:cstheme="minorHAnsi" w:hint="eastAsia"/>
                <w:color w:val="000000"/>
              </w:rPr>
              <w:t>ý</w:t>
            </w:r>
            <w:r w:rsidRPr="00A14BBF">
              <w:rPr>
                <w:rFonts w:cstheme="minorHAnsi"/>
                <w:color w:val="000000"/>
              </w:rPr>
              <w:t>ch zne</w:t>
            </w:r>
            <w:r w:rsidRPr="00A14BBF">
              <w:rPr>
                <w:rFonts w:cstheme="minorHAnsi" w:hint="eastAsia"/>
                <w:color w:val="000000"/>
              </w:rPr>
              <w:t>č</w:t>
            </w:r>
            <w:r w:rsidRPr="00A14BBF">
              <w:rPr>
                <w:rFonts w:cstheme="minorHAnsi"/>
                <w:color w:val="000000"/>
              </w:rPr>
              <w:t>i</w:t>
            </w:r>
            <w:r w:rsidRPr="00A14BBF">
              <w:rPr>
                <w:rFonts w:cstheme="minorHAnsi" w:hint="eastAsia"/>
                <w:color w:val="000000"/>
              </w:rPr>
              <w:t>šť</w:t>
            </w:r>
            <w:r w:rsidRPr="00A14BBF">
              <w:rPr>
                <w:rFonts w:cstheme="minorHAnsi"/>
                <w:color w:val="000000"/>
              </w:rPr>
              <w:t>uj</w:t>
            </w:r>
            <w:r w:rsidRPr="00A14BBF">
              <w:rPr>
                <w:rFonts w:cstheme="minorHAnsi" w:hint="eastAsia"/>
                <w:color w:val="000000"/>
              </w:rPr>
              <w:t>í</w:t>
            </w:r>
            <w:r w:rsidRPr="00A14BBF">
              <w:rPr>
                <w:rFonts w:cstheme="minorHAnsi"/>
                <w:color w:val="000000"/>
              </w:rPr>
              <w:t>c</w:t>
            </w:r>
            <w:r w:rsidRPr="00A14BBF">
              <w:rPr>
                <w:rFonts w:cstheme="minorHAnsi" w:hint="eastAsia"/>
                <w:color w:val="000000"/>
              </w:rPr>
              <w:t>í</w:t>
            </w:r>
            <w:r w:rsidRPr="00A14BBF">
              <w:rPr>
                <w:rFonts w:cstheme="minorHAnsi"/>
                <w:color w:val="000000"/>
              </w:rPr>
              <w:t>ch l</w:t>
            </w:r>
            <w:r w:rsidRPr="00A14BBF">
              <w:rPr>
                <w:rFonts w:cstheme="minorHAnsi" w:hint="eastAsia"/>
                <w:color w:val="000000"/>
              </w:rPr>
              <w:t>á</w:t>
            </w:r>
            <w:r w:rsidRPr="00A14BBF">
              <w:rPr>
                <w:rFonts w:cstheme="minorHAnsi"/>
                <w:color w:val="000000"/>
              </w:rPr>
              <w:t>tk</w:t>
            </w:r>
            <w:r w:rsidRPr="00A14BBF">
              <w:rPr>
                <w:rFonts w:cstheme="minorHAnsi" w:hint="eastAsia"/>
                <w:color w:val="000000"/>
              </w:rPr>
              <w:t>á</w:t>
            </w:r>
            <w:r w:rsidRPr="00A14BBF">
              <w:rPr>
                <w:rFonts w:cstheme="minorHAnsi"/>
                <w:color w:val="000000"/>
              </w:rPr>
              <w:t>ch není systematicky kontrolován vyjma různých vědeckých studií</w:t>
            </w:r>
            <w:r w:rsidR="002B07C3" w:rsidRPr="00A14BBF">
              <w:rPr>
                <w:rFonts w:cstheme="minorHAnsi"/>
                <w:color w:val="000000"/>
              </w:rPr>
              <w:t xml:space="preserve"> a projektů zaměřených na </w:t>
            </w:r>
            <w:r w:rsidR="002B07C3" w:rsidRPr="00A14BBF">
              <w:rPr>
                <w:rFonts w:cstheme="minorHAnsi"/>
                <w:szCs w:val="24"/>
              </w:rPr>
              <w:t>sledování perzistentních organických polutantů (</w:t>
            </w:r>
            <w:proofErr w:type="spellStart"/>
            <w:r w:rsidR="002B07C3" w:rsidRPr="00A14BBF">
              <w:rPr>
                <w:rFonts w:cstheme="minorHAnsi"/>
                <w:szCs w:val="24"/>
              </w:rPr>
              <w:t>POPs</w:t>
            </w:r>
            <w:proofErr w:type="spellEnd"/>
            <w:r w:rsidR="002B07C3" w:rsidRPr="00A14BBF">
              <w:rPr>
                <w:rFonts w:cstheme="minorHAnsi"/>
                <w:szCs w:val="24"/>
              </w:rPr>
              <w:t>).</w:t>
            </w:r>
            <w:r w:rsidR="00EC5B0A" w:rsidRPr="00A14BBF">
              <w:rPr>
                <w:rFonts w:cstheme="minorHAnsi"/>
                <w:szCs w:val="24"/>
              </w:rPr>
              <w:t xml:space="preserve"> </w:t>
            </w:r>
          </w:p>
          <w:p w:rsidR="00793EF4" w:rsidRPr="00A14BBF" w:rsidRDefault="008C12E6" w:rsidP="00793EF4">
            <w:r w:rsidRPr="00A14BBF">
              <w:t xml:space="preserve">V návaznosti na požadavky nařízení (EU) 2019/1021 o </w:t>
            </w:r>
            <w:proofErr w:type="spellStart"/>
            <w:r w:rsidRPr="00A14BBF">
              <w:t>POPs</w:t>
            </w:r>
            <w:proofErr w:type="spellEnd"/>
            <w:r w:rsidRPr="00A14BBF">
              <w:t xml:space="preserve"> jsou sledovány parametry popílků ze spaloven nebezpečných odpadů při skládkování. Odbor odpadů MŽP stanovil, že odpadní polystyren s obsahe</w:t>
            </w:r>
            <w:r w:rsidRPr="00A14BBF">
              <w:t>m HBCDD je nutno odstraňovat ve spalovnách nebezpečného odpadu. ČIŽP každý rok provádí kontroly skládek nebezpečných odpadů. Je používána stabilizace/</w:t>
            </w:r>
            <w:proofErr w:type="spellStart"/>
            <w:r w:rsidRPr="00A14BBF">
              <w:t>solidifikace</w:t>
            </w:r>
            <w:proofErr w:type="spellEnd"/>
            <w:r w:rsidRPr="00A14BBF">
              <w:t xml:space="preserve"> popílků ze spalování nebezpečných odpadů.</w:t>
            </w:r>
          </w:p>
          <w:p w:rsidR="00EC5B0A" w:rsidRPr="00A14BBF" w:rsidRDefault="008C12E6" w:rsidP="00793EF4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szCs w:val="24"/>
              </w:rPr>
              <w:lastRenderedPageBreak/>
              <w:t xml:space="preserve">V roce 2020 byla připravena změna legislativy, </w:t>
            </w:r>
            <w:r w:rsidRPr="00A14BBF">
              <w:t>nová</w:t>
            </w:r>
            <w:r w:rsidRPr="00A14BBF">
              <w:t xml:space="preserve"> vyhláška o</w:t>
            </w:r>
            <w:r w:rsidR="00EC183E" w:rsidRPr="00A14BBF">
              <w:t> </w:t>
            </w:r>
            <w:r w:rsidRPr="00A14BBF">
              <w:t>podrobnostech nakládání s</w:t>
            </w:r>
            <w:r w:rsidR="00EC183E" w:rsidRPr="00A14BBF">
              <w:t> </w:t>
            </w:r>
            <w:r w:rsidRPr="00A14BBF">
              <w:t>odpady</w:t>
            </w:r>
            <w:r w:rsidR="00EC183E" w:rsidRPr="00A14BBF">
              <w:t>, která</w:t>
            </w:r>
            <w:r w:rsidRPr="00A14BBF">
              <w:t xml:space="preserve"> stanoví technické požadavky pro nakládání s odpady </w:t>
            </w:r>
            <w:proofErr w:type="spellStart"/>
            <w:r w:rsidRPr="00A14BBF">
              <w:t>POPs</w:t>
            </w:r>
            <w:proofErr w:type="spellEnd"/>
            <w:r w:rsidRPr="00A14BBF">
              <w:t xml:space="preserve"> a také zavádí ohlašovací povinnosti k </w:t>
            </w:r>
            <w:proofErr w:type="spellStart"/>
            <w:r w:rsidRPr="00A14BBF">
              <w:t>POPs</w:t>
            </w:r>
            <w:proofErr w:type="spellEnd"/>
            <w:r w:rsidRPr="00A14BBF">
              <w:t xml:space="preserve"> v odpadech.</w:t>
            </w:r>
            <w:r w:rsidRPr="00A14BBF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290F5E" w:rsidRPr="00A14BBF" w:rsidRDefault="00290F5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345DC4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414CF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4CF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39.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4CF" w:rsidRPr="00A14BBF" w:rsidRDefault="008C12E6" w:rsidP="001C1AF2">
            <w:pPr>
              <w:spacing w:line="276" w:lineRule="auto"/>
              <w:jc w:val="center"/>
            </w:pPr>
            <w:r w:rsidRPr="00A14BBF">
              <w:t>3.3.2.3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14CF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</w:rPr>
              <w:t xml:space="preserve">Minimalizovat možné negativní účinky při nakládání s odpady s obsahem </w:t>
            </w:r>
            <w:r w:rsidRPr="00A14BBF">
              <w:rPr>
                <w:rFonts w:cstheme="minorHAnsi"/>
                <w:b/>
              </w:rPr>
              <w:t>azbestu na lidské zdraví a životní prostředí.</w:t>
            </w:r>
          </w:p>
        </w:tc>
      </w:tr>
      <w:tr w:rsidR="007E5173" w:rsidTr="00345DC4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414CF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4CF" w:rsidRPr="00A14BBF" w:rsidRDefault="008C12E6" w:rsidP="00FF4C68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0875FF" w:rsidRPr="00A14BBF" w:rsidRDefault="008C12E6" w:rsidP="00620A8B">
            <w:pPr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Daná oblast je dostatečně legislativně upravena. Odpady s obsahem azbestu jsou bezpečně odstraňovány. </w:t>
            </w:r>
          </w:p>
          <w:p w:rsidR="000875FF" w:rsidRPr="00A14BBF" w:rsidRDefault="008C12E6" w:rsidP="00620A8B">
            <w:pPr>
              <w:spacing w:after="120"/>
              <w:rPr>
                <w:rFonts w:cstheme="minorHAnsi"/>
                <w:b/>
                <w:color w:val="000000"/>
              </w:rPr>
            </w:pPr>
            <w:r w:rsidRPr="00A14BBF">
              <w:t xml:space="preserve">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významně zvýšila produkce odpadů azbestu, což </w:t>
            </w:r>
            <w:r w:rsidRPr="00A14BBF">
              <w:t>lze přikládat osvětě v této oblasti a ukazuje to na zájem o správné nakládání s tímto nebezpečným odpadem. Všechny tyto odpady s obsahem azbestu byly odstraněny uložením na skládky. V praxi je správně používán Metodicky návod MŽP, Ministerstva pro místní r</w:t>
            </w:r>
            <w:r w:rsidRPr="00A14BBF">
              <w:t>ozvoj a</w:t>
            </w:r>
            <w:r w:rsidR="00046A01" w:rsidRPr="00A14BBF">
              <w:t> </w:t>
            </w:r>
            <w:r w:rsidRPr="00A14BBF">
              <w:t xml:space="preserve">Ministerstva zdravotnictví pro správný postup nakládání s tímto odpadem </w:t>
            </w:r>
            <w:r w:rsidRPr="00A14BBF">
              <w:rPr>
                <w:i/>
              </w:rPr>
              <w:t xml:space="preserve">„Metodický návod pro řízení vzniku odpadů s obsahem azbestu při provádění a odstraňování staveb a pro nakládání s nimi“. </w:t>
            </w:r>
            <w:r w:rsidRPr="00A14BBF">
              <w:t>Aplikace návodu v praxi vede k minimalizaci zdravotních</w:t>
            </w:r>
            <w:r w:rsidRPr="00A14BBF">
              <w:t xml:space="preserve"> rizik pro občany a</w:t>
            </w:r>
            <w:r w:rsidR="00046A01" w:rsidRPr="00A14BBF">
              <w:t> </w:t>
            </w:r>
            <w:r w:rsidRPr="00A14BBF">
              <w:t xml:space="preserve">negativních účinků na životní prostředí.  </w:t>
            </w:r>
          </w:p>
        </w:tc>
      </w:tr>
    </w:tbl>
    <w:p w:rsidR="007F7268" w:rsidRPr="00A14BBF" w:rsidRDefault="007F7268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6898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6898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898" w:rsidRPr="00A14BBF" w:rsidRDefault="008C12E6" w:rsidP="001C1AF2">
            <w:pPr>
              <w:spacing w:line="276" w:lineRule="auto"/>
              <w:jc w:val="center"/>
            </w:pPr>
            <w:r w:rsidRPr="00A14BBF">
              <w:t>3.3.2.4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6898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</w:rPr>
              <w:t>Minimalizovat možné negativní účinky při nakládání s odpady s obsahem přírodních radionuklidů na lidské zdraví a životní prostředí.</w:t>
            </w:r>
          </w:p>
        </w:tc>
      </w:tr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6898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6898" w:rsidRPr="00A14BBF" w:rsidRDefault="008C12E6" w:rsidP="00CA450C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rFonts w:cstheme="minorHAnsi"/>
                <w:b/>
              </w:rPr>
              <w:t>Cíl plněn.</w:t>
            </w:r>
          </w:p>
          <w:p w:rsidR="00443586" w:rsidRPr="00A14BBF" w:rsidRDefault="008C12E6" w:rsidP="0028753C">
            <w:pPr>
              <w:spacing w:after="60" w:line="276" w:lineRule="auto"/>
              <w:rPr>
                <w:rFonts w:cstheme="minorHAnsi"/>
                <w:b/>
              </w:rPr>
            </w:pPr>
            <w:r w:rsidRPr="00A14BBF">
              <w:t>V ČR j</w:t>
            </w:r>
            <w:r w:rsidR="00BE0BE1" w:rsidRPr="00A14BBF">
              <w:t xml:space="preserve">e vhodně aplikován </w:t>
            </w:r>
            <w:r w:rsidRPr="00A14BBF">
              <w:t>atomov</w:t>
            </w:r>
            <w:r w:rsidR="00BE0BE1" w:rsidRPr="00A14BBF">
              <w:t xml:space="preserve">ý zákon, výkladové problémy byly odstraněny a v roce 2020 </w:t>
            </w:r>
            <w:r w:rsidR="00CE72A7" w:rsidRPr="00A14BBF">
              <w:t xml:space="preserve">byla v praxi </w:t>
            </w:r>
            <w:r w:rsidRPr="00A14BBF">
              <w:t xml:space="preserve">zajištěna plná ochrana lidského zdraví a životního prostředí. </w:t>
            </w:r>
            <w:r w:rsidR="0028753C" w:rsidRPr="00A14BBF">
              <w:t xml:space="preserve">S odpady </w:t>
            </w:r>
            <w:r w:rsidR="00CE72A7" w:rsidRPr="00A14BBF">
              <w:rPr>
                <w:rFonts w:cstheme="minorHAnsi"/>
              </w:rPr>
              <w:t>přírodních radionuklidů</w:t>
            </w:r>
            <w:r w:rsidR="00CE72A7" w:rsidRPr="00A14BBF">
              <w:rPr>
                <w:rFonts w:cstheme="minorHAnsi"/>
                <w:b/>
              </w:rPr>
              <w:t xml:space="preserve"> </w:t>
            </w:r>
            <w:r w:rsidR="0028753C" w:rsidRPr="00A14BBF">
              <w:t xml:space="preserve">je bezpečně nakládáno. </w:t>
            </w:r>
          </w:p>
        </w:tc>
      </w:tr>
    </w:tbl>
    <w:p w:rsidR="007F7268" w:rsidRPr="00A14BBF" w:rsidRDefault="007F7268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9"/>
        <w:gridCol w:w="992"/>
        <w:gridCol w:w="5528"/>
      </w:tblGrid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30DD7" w:rsidRPr="00A14BBF" w:rsidRDefault="008C12E6" w:rsidP="001C1AF2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30DD7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41.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30DD7" w:rsidRPr="00A14BBF" w:rsidRDefault="008C12E6" w:rsidP="001C1AF2">
            <w:pPr>
              <w:spacing w:line="276" w:lineRule="auto"/>
              <w:jc w:val="center"/>
            </w:pPr>
            <w:r w:rsidRPr="00A14BBF">
              <w:t>3.3.3.1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C30DD7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Snižovat množství</w:t>
            </w:r>
            <w:r w:rsidRPr="00A14BBF">
              <w:rPr>
                <w:rFonts w:cstheme="minorHAnsi"/>
                <w:b/>
                <w:color w:val="000000"/>
              </w:rPr>
              <w:t xml:space="preserve"> biologicky rozložitelných odpadů z kuchyní a stravoven a vedlejších produktů živočišného původu ve směsném komunálním odpadu, které jsou původem z veřejných stravovacích zařízení (restaurace, občerstvení) a centrálních kuchyní (nemocnice, školy a další ob</w:t>
            </w:r>
            <w:r w:rsidRPr="00A14BBF">
              <w:rPr>
                <w:rFonts w:cstheme="minorHAnsi"/>
                <w:b/>
                <w:color w:val="000000"/>
              </w:rPr>
              <w:t>dobná zařízení).</w:t>
            </w:r>
          </w:p>
        </w:tc>
      </w:tr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30DD7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A450C" w:rsidRPr="00A14BBF" w:rsidRDefault="008C12E6" w:rsidP="00630A4A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 částečně.</w:t>
            </w:r>
          </w:p>
          <w:p w:rsidR="00630A4A" w:rsidRPr="00A14BBF" w:rsidRDefault="008C12E6" w:rsidP="00630A4A">
            <w:pPr>
              <w:spacing w:line="276" w:lineRule="auto"/>
              <w:rPr>
                <w:bCs/>
              </w:rPr>
            </w:pPr>
            <w:r w:rsidRPr="00A14BBF">
              <w:rPr>
                <w:rFonts w:cstheme="minorHAnsi"/>
                <w:color w:val="000000"/>
              </w:rPr>
              <w:t xml:space="preserve">Tato oblast je </w:t>
            </w:r>
            <w:r w:rsidR="007330DB" w:rsidRPr="00A14BBF">
              <w:rPr>
                <w:rFonts w:cstheme="minorHAnsi"/>
                <w:color w:val="000000"/>
              </w:rPr>
              <w:t>legislativně uprav</w:t>
            </w:r>
            <w:r w:rsidRPr="00A14BBF">
              <w:rPr>
                <w:rFonts w:cstheme="minorHAnsi"/>
                <w:color w:val="000000"/>
              </w:rPr>
              <w:t>en</w:t>
            </w:r>
            <w:r w:rsidR="003936C9" w:rsidRPr="00A14BBF">
              <w:rPr>
                <w:rFonts w:cstheme="minorHAnsi"/>
                <w:color w:val="000000"/>
              </w:rPr>
              <w:t>a, v</w:t>
            </w:r>
            <w:r w:rsidR="001E172B" w:rsidRPr="00A14BBF">
              <w:rPr>
                <w:rFonts w:cstheme="minorHAnsi"/>
                <w:color w:val="000000"/>
              </w:rPr>
              <w:t xml:space="preserve">yhláškou </w:t>
            </w:r>
            <w:r w:rsidRPr="00A14BBF">
              <w:rPr>
                <w:rFonts w:cstheme="minorHAnsi"/>
                <w:color w:val="000000"/>
              </w:rPr>
              <w:t xml:space="preserve">v roce 2018 byla </w:t>
            </w:r>
            <w:r w:rsidR="001E172B" w:rsidRPr="00A14BBF">
              <w:rPr>
                <w:bCs/>
              </w:rPr>
              <w:t>zaved</w:t>
            </w:r>
            <w:r w:rsidRPr="00A14BBF">
              <w:rPr>
                <w:bCs/>
              </w:rPr>
              <w:t>ena</w:t>
            </w:r>
            <w:r w:rsidR="001E172B" w:rsidRPr="00A14BBF">
              <w:rPr>
                <w:bCs/>
              </w:rPr>
              <w:t xml:space="preserve"> pro obce povinnost od 1. ledna 2020 zajistit celoročně místa </w:t>
            </w:r>
            <w:r w:rsidR="001E172B" w:rsidRPr="00A14BBF">
              <w:rPr>
                <w:bCs/>
              </w:rPr>
              <w:lastRenderedPageBreak/>
              <w:t xml:space="preserve">pro oddělené soustřeďování odpadních jedlých olejů a tuků. </w:t>
            </w:r>
            <w:r w:rsidRPr="00A14BBF">
              <w:rPr>
                <w:bCs/>
              </w:rPr>
              <w:t>V důsledku této povinnosti a větší informovanosti o ní ze strany MŽP se již v roce 2020 dařilo také více zapojovat do obecních systémů i např. školní jídelny. V roce 2020 došlo ke zvýšení sebraných</w:t>
            </w:r>
            <w:r w:rsidRPr="00A14BBF">
              <w:rPr>
                <w:bCs/>
              </w:rPr>
              <w:t xml:space="preserve"> a využitých odpadních jedlých olejů a tuků a ke snížení negativních účinků na lidské zdraví a</w:t>
            </w:r>
            <w:r w:rsidR="00044EED" w:rsidRPr="00A14BBF">
              <w:rPr>
                <w:bCs/>
              </w:rPr>
              <w:t> </w:t>
            </w:r>
            <w:r w:rsidRPr="00A14BBF">
              <w:rPr>
                <w:bCs/>
              </w:rPr>
              <w:t xml:space="preserve">životní prostředí. </w:t>
            </w:r>
          </w:p>
          <w:p w:rsidR="00630A4A" w:rsidRPr="00A14BBF" w:rsidRDefault="008C12E6" w:rsidP="00630A4A">
            <w:pPr>
              <w:spacing w:line="276" w:lineRule="auto"/>
              <w:rPr>
                <w:bCs/>
              </w:rPr>
            </w:pPr>
            <w:r w:rsidRPr="00A14BBF">
              <w:rPr>
                <w:rFonts w:cstheme="minorHAnsi"/>
                <w:szCs w:val="24"/>
              </w:rPr>
              <w:t xml:space="preserve">V roce 2019 i 2020 se produkce </w:t>
            </w:r>
            <w:r w:rsidRPr="00A14BBF">
              <w:t>odpadních jedlých olejů a tuků</w:t>
            </w:r>
            <w:r w:rsidRPr="00A14BBF">
              <w:rPr>
                <w:rFonts w:cstheme="minorHAnsi"/>
                <w:szCs w:val="24"/>
              </w:rPr>
              <w:t xml:space="preserve"> pohybovala na 12 </w:t>
            </w:r>
            <w:r w:rsidRPr="00A14BBF">
              <w:rPr>
                <w:bCs/>
              </w:rPr>
              <w:t>tis. t.</w:t>
            </w:r>
            <w:r w:rsidRPr="00A14BBF">
              <w:rPr>
                <w:rFonts w:cstheme="minorHAnsi"/>
                <w:szCs w:val="24"/>
              </w:rPr>
              <w:t xml:space="preserve"> Prakticky všechny tyto odpady </w:t>
            </w:r>
            <w:r w:rsidR="003936C9" w:rsidRPr="00A14BBF">
              <w:rPr>
                <w:rFonts w:cstheme="minorHAnsi"/>
                <w:szCs w:val="24"/>
              </w:rPr>
              <w:t>byly</w:t>
            </w:r>
            <w:r w:rsidRPr="00A14BBF">
              <w:rPr>
                <w:rFonts w:cstheme="minorHAnsi"/>
                <w:szCs w:val="24"/>
              </w:rPr>
              <w:t xml:space="preserve"> materiálově využity</w:t>
            </w:r>
            <w:r w:rsidRPr="00A14BBF">
              <w:rPr>
                <w:rFonts w:cstheme="minorHAnsi"/>
                <w:szCs w:val="24"/>
              </w:rPr>
              <w:t xml:space="preserve">.  </w:t>
            </w:r>
          </w:p>
          <w:p w:rsidR="00152844" w:rsidRPr="00A14BBF" w:rsidRDefault="008C12E6" w:rsidP="00675C1D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bCs/>
              </w:rPr>
              <w:t>V letech 201</w:t>
            </w:r>
            <w:r w:rsidR="00373B26" w:rsidRPr="00A14BBF">
              <w:rPr>
                <w:bCs/>
              </w:rPr>
              <w:t>9</w:t>
            </w:r>
            <w:r w:rsidRPr="00A14BBF">
              <w:rPr>
                <w:bCs/>
              </w:rPr>
              <w:t xml:space="preserve"> a 20</w:t>
            </w:r>
            <w:r w:rsidR="00373B26" w:rsidRPr="00A14BBF">
              <w:rPr>
                <w:bCs/>
              </w:rPr>
              <w:t>20</w:t>
            </w:r>
            <w:r w:rsidRPr="00A14BBF">
              <w:rPr>
                <w:bCs/>
              </w:rPr>
              <w:t xml:space="preserve"> se MŽP opět zaměřilo na osvětu a zvýšení informovanosti o </w:t>
            </w:r>
            <w:r w:rsidR="00AC21C2" w:rsidRPr="00A14BBF">
              <w:rPr>
                <w:bCs/>
              </w:rPr>
              <w:t xml:space="preserve">předcházení vzniku potravinových odpadů a </w:t>
            </w:r>
            <w:r w:rsidRPr="00A14BBF">
              <w:rPr>
                <w:bCs/>
              </w:rPr>
              <w:t>správném nakládání s </w:t>
            </w:r>
            <w:r w:rsidR="00AC21C2" w:rsidRPr="00A14BBF">
              <w:rPr>
                <w:bCs/>
              </w:rPr>
              <w:t>nimi.</w:t>
            </w:r>
            <w:r w:rsidR="004A509F" w:rsidRPr="00A14BBF">
              <w:rPr>
                <w:bCs/>
              </w:rPr>
              <w:t xml:space="preserve"> Tyto odpady se přesto stále objevují ve směsném komunálním odpadu. </w:t>
            </w:r>
          </w:p>
        </w:tc>
      </w:tr>
    </w:tbl>
    <w:p w:rsidR="008621DF" w:rsidRPr="00A14BBF" w:rsidRDefault="008621DF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134"/>
        <w:gridCol w:w="5528"/>
      </w:tblGrid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0658E" w:rsidRPr="00A14BBF" w:rsidRDefault="008C12E6" w:rsidP="00293546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0658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42.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0658E" w:rsidRPr="00A14BBF" w:rsidRDefault="008C12E6" w:rsidP="001C1AF2">
            <w:pPr>
              <w:spacing w:line="276" w:lineRule="auto"/>
              <w:jc w:val="center"/>
            </w:pPr>
            <w:r w:rsidRPr="00A14BBF">
              <w:t>3.3.3.1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70658E" w:rsidRPr="00A14BBF" w:rsidRDefault="008C12E6" w:rsidP="001C1AF2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 xml:space="preserve">Správně </w:t>
            </w:r>
            <w:r w:rsidRPr="00A14BBF">
              <w:rPr>
                <w:rFonts w:cstheme="minorHAnsi"/>
                <w:b/>
                <w:color w:val="000000"/>
                <w:lang w:val="x-none"/>
              </w:rPr>
              <w:t>naklád</w:t>
            </w:r>
            <w:r w:rsidRPr="00A14BBF">
              <w:rPr>
                <w:rFonts w:cstheme="minorHAnsi"/>
                <w:b/>
                <w:color w:val="000000"/>
              </w:rPr>
              <w:t>at</w:t>
            </w:r>
            <w:r w:rsidRPr="00A14BBF">
              <w:rPr>
                <w:rFonts w:cstheme="minorHAnsi"/>
                <w:b/>
                <w:color w:val="000000"/>
                <w:lang w:val="x-none"/>
              </w:rPr>
              <w:t xml:space="preserve"> s </w:t>
            </w:r>
            <w:r w:rsidRPr="00A14BBF">
              <w:rPr>
                <w:rFonts w:cstheme="minorHAnsi"/>
                <w:b/>
                <w:color w:val="000000"/>
              </w:rPr>
              <w:t>biologicky rozložitelnými odpady z kuchyní a stravoven a vedlejšími produkty živočišného původu</w:t>
            </w:r>
            <w:r w:rsidRPr="00A14BBF">
              <w:rPr>
                <w:rFonts w:cstheme="minorHAnsi"/>
                <w:b/>
                <w:color w:val="000000"/>
                <w:lang w:val="x-none"/>
              </w:rPr>
              <w:t xml:space="preserve"> a snižovat tak </w:t>
            </w:r>
            <w:r w:rsidRPr="00A14BBF">
              <w:rPr>
                <w:rFonts w:cstheme="minorHAnsi"/>
                <w:b/>
                <w:color w:val="000000"/>
              </w:rPr>
              <w:t>negativní účinky spojené s nakládáním s nimi na lidské zdraví a životní prostředí</w:t>
            </w:r>
            <w:r w:rsidRPr="00A14BBF">
              <w:rPr>
                <w:rFonts w:cstheme="minorHAnsi"/>
                <w:b/>
                <w:color w:val="000000"/>
                <w:lang w:val="x-none"/>
              </w:rPr>
              <w:t>.</w:t>
            </w:r>
          </w:p>
        </w:tc>
      </w:tr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0658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F13630" w:rsidRPr="00A14BBF" w:rsidRDefault="008C12E6" w:rsidP="00F13630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 částečně.</w:t>
            </w:r>
          </w:p>
          <w:p w:rsidR="00373B26" w:rsidRPr="00A14BBF" w:rsidRDefault="008C12E6" w:rsidP="00373B26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ascii="Calibri" w:hAnsi="Calibri" w:cstheme="minorHAnsi"/>
                <w:szCs w:val="24"/>
              </w:rPr>
              <w:t xml:space="preserve">Přestože se v průběhu let </w:t>
            </w:r>
            <w:r w:rsidR="00C1329D" w:rsidRPr="00A14BBF">
              <w:rPr>
                <w:rFonts w:ascii="Calibri" w:hAnsi="Calibri" w:cstheme="minorHAnsi"/>
                <w:szCs w:val="24"/>
              </w:rPr>
              <w:t>2019</w:t>
            </w:r>
            <w:r w:rsidR="00C1329D">
              <w:rPr>
                <w:rFonts w:ascii="Calibri" w:hAnsi="Calibri" w:cstheme="minorHAnsi"/>
                <w:szCs w:val="24"/>
              </w:rPr>
              <w:t>–2020</w:t>
            </w:r>
            <w:r w:rsidRPr="00A14BBF">
              <w:rPr>
                <w:rFonts w:ascii="Calibri" w:hAnsi="Calibri" w:cstheme="minorHAnsi"/>
                <w:szCs w:val="24"/>
              </w:rPr>
              <w:t xml:space="preserve"> mnoho vykonalo v oblasti osvěty a</w:t>
            </w:r>
            <w:r w:rsidR="00FD186B" w:rsidRPr="00A14BBF">
              <w:rPr>
                <w:rFonts w:ascii="Calibri" w:hAnsi="Calibri" w:cstheme="minorHAnsi"/>
                <w:szCs w:val="24"/>
              </w:rPr>
              <w:t> </w:t>
            </w:r>
            <w:r w:rsidRPr="00A14BBF">
              <w:rPr>
                <w:rFonts w:ascii="Calibri" w:hAnsi="Calibri" w:cstheme="minorHAnsi"/>
                <w:szCs w:val="24"/>
              </w:rPr>
              <w:t xml:space="preserve">předcházení vzniku a správného nakládání s </w:t>
            </w:r>
            <w:r w:rsidRPr="00A14BBF">
              <w:rPr>
                <w:rFonts w:cstheme="minorHAnsi"/>
                <w:color w:val="000000"/>
              </w:rPr>
              <w:t>biologicky rozložitelnými odpady z kuchyní a</w:t>
            </w:r>
            <w:r w:rsidR="00FD186B" w:rsidRPr="00A14BBF">
              <w:rPr>
                <w:rFonts w:cstheme="minorHAnsi"/>
                <w:color w:val="000000"/>
              </w:rPr>
              <w:t> </w:t>
            </w:r>
            <w:r w:rsidRPr="00A14BBF">
              <w:rPr>
                <w:rFonts w:cstheme="minorHAnsi"/>
                <w:color w:val="000000"/>
              </w:rPr>
              <w:t xml:space="preserve">stravoven a vedlejšími produkty živočišného původu, tak </w:t>
            </w:r>
            <w:r w:rsidRPr="00A14BBF">
              <w:rPr>
                <w:rFonts w:ascii="Calibri" w:hAnsi="Calibri" w:cstheme="minorHAnsi"/>
                <w:szCs w:val="24"/>
              </w:rPr>
              <w:t xml:space="preserve">stále jsou </w:t>
            </w:r>
            <w:r w:rsidRPr="00A14BBF">
              <w:rPr>
                <w:rFonts w:cstheme="minorHAnsi"/>
                <w:color w:val="000000"/>
              </w:rPr>
              <w:t xml:space="preserve">rezervy ve správném </w:t>
            </w:r>
            <w:r w:rsidRPr="00A14BBF">
              <w:rPr>
                <w:rFonts w:cstheme="minorHAnsi"/>
                <w:color w:val="000000"/>
                <w:lang w:val="x-none"/>
              </w:rPr>
              <w:t>naklád</w:t>
            </w:r>
            <w:r w:rsidRPr="00A14BBF">
              <w:rPr>
                <w:rFonts w:cstheme="minorHAnsi"/>
                <w:color w:val="000000"/>
              </w:rPr>
              <w:t>ání s</w:t>
            </w:r>
            <w:r w:rsidRPr="00A14BBF">
              <w:rPr>
                <w:rFonts w:cstheme="minorHAnsi"/>
                <w:color w:val="000000"/>
              </w:rPr>
              <w:t xml:space="preserve"> nimi. </w:t>
            </w:r>
            <w:r w:rsidR="004A509F" w:rsidRPr="00A14BBF">
              <w:rPr>
                <w:bCs/>
              </w:rPr>
              <w:t>Tyto odpady se přesto stále objevují ve směsném komunálním odpadu.</w:t>
            </w:r>
          </w:p>
        </w:tc>
      </w:tr>
    </w:tbl>
    <w:p w:rsidR="007F7268" w:rsidRPr="00A14BBF" w:rsidRDefault="007F7268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6469D" w:rsidRPr="00A14BBF" w:rsidRDefault="008C12E6" w:rsidP="005B63DC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43.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</w:pPr>
            <w:r w:rsidRPr="00A14BBF">
              <w:t>3.3.3.2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b/>
              </w:rPr>
              <w:t xml:space="preserve">Zpracovávat </w:t>
            </w:r>
            <w:r w:rsidRPr="00A14BBF">
              <w:rPr>
                <w:rFonts w:ascii="Calibri" w:hAnsi="Calibri" w:cstheme="minorHAnsi"/>
                <w:b/>
                <w:szCs w:val="24"/>
              </w:rPr>
              <w:t>kovové odpady a výrobky s ukončenou životností na materiály za účelem náhrady primárních surovin.</w:t>
            </w:r>
          </w:p>
        </w:tc>
      </w:tr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172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172E" w:rsidRPr="00A14BBF" w:rsidRDefault="008C12E6" w:rsidP="00CA462A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8A5C9D" w:rsidRPr="00A14BBF" w:rsidRDefault="008C12E6" w:rsidP="008A5C9D">
            <w:pPr>
              <w:rPr>
                <w:rFonts w:cstheme="minorHAnsi"/>
                <w:szCs w:val="24"/>
              </w:rPr>
            </w:pPr>
            <w:r w:rsidRPr="00A14BBF">
              <w:rPr>
                <w:rFonts w:cstheme="minorHAnsi"/>
                <w:szCs w:val="24"/>
              </w:rPr>
              <w:t xml:space="preserve">Většina </w:t>
            </w:r>
            <w:r w:rsidRPr="00A14BBF">
              <w:rPr>
                <w:rFonts w:cstheme="minorHAnsi"/>
                <w:szCs w:val="24"/>
              </w:rPr>
              <w:t>produkce odpadů železných kovů a neželezných kovů je recyklována, tedy využita na materiály za účelem náhrady primárních surovin a podpory oběhového hospodářství.</w:t>
            </w:r>
          </w:p>
          <w:p w:rsidR="008A5C9D" w:rsidRPr="00A14BBF" w:rsidRDefault="008C12E6" w:rsidP="008A5C9D">
            <w:pPr>
              <w:spacing w:after="120"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eastAsiaTheme="majorEastAsia"/>
                <w:lang w:bidi="en-US"/>
              </w:rPr>
              <w:t xml:space="preserve">V letech </w:t>
            </w:r>
            <w:r w:rsidR="00C1329D" w:rsidRPr="00A14BBF">
              <w:rPr>
                <w:rFonts w:eastAsiaTheme="majorEastAsia"/>
                <w:lang w:bidi="en-US"/>
              </w:rPr>
              <w:t>2019–2020</w:t>
            </w:r>
            <w:r w:rsidRPr="00A14BBF">
              <w:rPr>
                <w:rFonts w:eastAsiaTheme="majorEastAsia"/>
                <w:lang w:bidi="en-US"/>
              </w:rPr>
              <w:t xml:space="preserve"> se nadále zlepšila kontrola výkupu kovových odpadů a zamezilo se trestné č</w:t>
            </w:r>
            <w:r w:rsidRPr="00A14BBF">
              <w:rPr>
                <w:rFonts w:eastAsiaTheme="majorEastAsia"/>
                <w:lang w:bidi="en-US"/>
              </w:rPr>
              <w:t>innosti související s</w:t>
            </w:r>
            <w:r w:rsidR="00B35DBB" w:rsidRPr="00A14BBF">
              <w:rPr>
                <w:rFonts w:eastAsiaTheme="majorEastAsia"/>
                <w:lang w:bidi="en-US"/>
              </w:rPr>
              <w:t> </w:t>
            </w:r>
            <w:r w:rsidRPr="00A14BBF">
              <w:rPr>
                <w:rFonts w:eastAsiaTheme="majorEastAsia"/>
                <w:lang w:bidi="en-US"/>
              </w:rPr>
              <w:t>krádež</w:t>
            </w:r>
            <w:r w:rsidR="00B35DBB" w:rsidRPr="00A14BBF">
              <w:rPr>
                <w:rFonts w:eastAsiaTheme="majorEastAsia"/>
                <w:lang w:bidi="en-US"/>
              </w:rPr>
              <w:t xml:space="preserve">emi </w:t>
            </w:r>
            <w:r w:rsidRPr="00A14BBF">
              <w:rPr>
                <w:rFonts w:eastAsiaTheme="majorEastAsia"/>
                <w:lang w:bidi="en-US"/>
              </w:rPr>
              <w:t xml:space="preserve">kovových předmětů a jejich prodejem do zařízení ke sběru a výkupu odpadů. </w:t>
            </w:r>
          </w:p>
        </w:tc>
      </w:tr>
    </w:tbl>
    <w:p w:rsidR="00D66A1B" w:rsidRPr="00A14BBF" w:rsidRDefault="00D66A1B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6469D" w:rsidRPr="00A14BBF" w:rsidRDefault="008C12E6" w:rsidP="005B63DC">
            <w:pPr>
              <w:spacing w:line="276" w:lineRule="auto"/>
              <w:jc w:val="center"/>
            </w:pPr>
            <w:r w:rsidRPr="00A14BBF">
              <w:rPr>
                <w:b/>
              </w:rPr>
              <w:lastRenderedPageBreak/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44.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</w:pPr>
            <w:r w:rsidRPr="00A14BBF">
              <w:t>3.4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26469D" w:rsidRPr="00A14BBF" w:rsidRDefault="008C12E6" w:rsidP="0018339B">
            <w:pPr>
              <w:spacing w:line="276" w:lineRule="auto"/>
              <w:rPr>
                <w:rFonts w:cstheme="minorHAnsi"/>
                <w:b/>
              </w:rPr>
            </w:pPr>
            <w:r w:rsidRPr="00A14BBF">
              <w:rPr>
                <w:b/>
              </w:rPr>
              <w:t>Vytvořit a udržovat komplexní, přiměřenou a</w:t>
            </w:r>
            <w:r w:rsidR="0018339B" w:rsidRPr="00A14BBF">
              <w:rPr>
                <w:b/>
              </w:rPr>
              <w:t> </w:t>
            </w:r>
            <w:r w:rsidRPr="00A14BBF">
              <w:rPr>
                <w:b/>
              </w:rPr>
              <w:t xml:space="preserve">efektivní síť zařízení k nakládání s odpady na území České republiky. </w:t>
            </w:r>
          </w:p>
        </w:tc>
      </w:tr>
      <w:tr w:rsidR="007E5173" w:rsidTr="00345DC4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5172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Hodnocení stavu </w:t>
            </w:r>
            <w:r w:rsidRPr="00A14BBF">
              <w:rPr>
                <w:b/>
              </w:rPr>
              <w:t>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5172E" w:rsidRPr="00A14BBF" w:rsidRDefault="008C12E6" w:rsidP="00CA462A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 částečně.</w:t>
            </w:r>
          </w:p>
          <w:p w:rsidR="00390AF9" w:rsidRPr="00A14BBF" w:rsidRDefault="008C12E6" w:rsidP="00390AF9">
            <w:pPr>
              <w:spacing w:line="276" w:lineRule="auto"/>
            </w:pPr>
            <w:r w:rsidRPr="00A14BBF">
              <w:t xml:space="preserve">OPŽP </w:t>
            </w:r>
            <w:r w:rsidR="008A5C9D" w:rsidRPr="00A14BBF">
              <w:t xml:space="preserve">významně </w:t>
            </w:r>
            <w:r w:rsidRPr="00A14BBF">
              <w:t xml:space="preserve">přispívá k rozvoji efektivní sítě zařízení k nakládání s odpady na území ČR. Z OPŽP je podporována oblast zintenzivnění sběru </w:t>
            </w:r>
            <w:r w:rsidR="008A5C9D" w:rsidRPr="00A14BBF">
              <w:t xml:space="preserve">využitelných složek </w:t>
            </w:r>
            <w:r w:rsidRPr="00A14BBF">
              <w:t>komunálních odpadů zvláště pak sběru a využití bioodpadů v obcíc</w:t>
            </w:r>
            <w:r w:rsidRPr="00A14BBF">
              <w:t xml:space="preserve">h ČR. V rámci předcházení vzniku odpadů je podporováno </w:t>
            </w:r>
            <w:r w:rsidR="008A5C9D" w:rsidRPr="00A14BBF">
              <w:t xml:space="preserve">také </w:t>
            </w:r>
            <w:r w:rsidRPr="00A14BBF">
              <w:t xml:space="preserve">domácí kompostování a rozšíření domácích kompostérů do domácností. </w:t>
            </w:r>
            <w:r w:rsidR="00ED410B" w:rsidRPr="00A14BBF">
              <w:t xml:space="preserve">Předáno bylo 180 tisíc kompostérů. </w:t>
            </w:r>
            <w:r w:rsidR="00D65973" w:rsidRPr="00A14BBF">
              <w:t xml:space="preserve">V současnosti je </w:t>
            </w:r>
            <w:r w:rsidRPr="00A14BBF">
              <w:t xml:space="preserve">třeba zaměřit se na rozšíření sítě </w:t>
            </w:r>
            <w:r w:rsidR="007A36AF" w:rsidRPr="00A14BBF">
              <w:t xml:space="preserve">sběru kuchyňského bioodpadu živočišného charakteru </w:t>
            </w:r>
            <w:r w:rsidRPr="00A14BBF">
              <w:t>a podporu zařízení k recyklaci odpadů.</w:t>
            </w:r>
          </w:p>
          <w:p w:rsidR="00AA36B9" w:rsidRPr="00A14BBF" w:rsidRDefault="008C12E6" w:rsidP="00390AF9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t xml:space="preserve">V informačním systému MŽP </w:t>
            </w:r>
            <w:r w:rsidR="00345DC4" w:rsidRPr="00A14BBF">
              <w:rPr>
                <w:bCs/>
              </w:rPr>
              <w:t xml:space="preserve">Registru zařízení je zveřejněna síť aktuálně provozovaných zařízení k nakládání s odpady. </w:t>
            </w:r>
          </w:p>
        </w:tc>
      </w:tr>
    </w:tbl>
    <w:p w:rsidR="00D66A1B" w:rsidRPr="00A14BBF" w:rsidRDefault="00D66A1B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417"/>
        <w:gridCol w:w="5245"/>
      </w:tblGrid>
      <w:tr w:rsidR="007E5173" w:rsidTr="005E2C19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69D" w:rsidRPr="00A14BBF" w:rsidRDefault="008C12E6" w:rsidP="00293546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</w:pPr>
            <w:r w:rsidRPr="00A14BBF">
              <w:t>3.5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6469D" w:rsidRPr="00A14BBF" w:rsidRDefault="008C12E6" w:rsidP="001C1AF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Neohrožovat v důsledku přeshraničního pohybu odpadů </w:t>
            </w:r>
            <w:r w:rsidRPr="00A14BBF">
              <w:rPr>
                <w:rFonts w:cstheme="minorHAnsi"/>
                <w:b/>
              </w:rPr>
              <w:t xml:space="preserve">lidské zdraví </w:t>
            </w:r>
            <w:r w:rsidRPr="00A14BBF">
              <w:rPr>
                <w:b/>
              </w:rPr>
              <w:t xml:space="preserve">a životní </w:t>
            </w:r>
            <w:r w:rsidRPr="00A14BBF">
              <w:rPr>
                <w:b/>
              </w:rPr>
              <w:t>prostředí v České republice.</w:t>
            </w:r>
          </w:p>
        </w:tc>
      </w:tr>
      <w:tr w:rsidR="007E5173" w:rsidTr="005E2C19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</w:tcPr>
          <w:p w:rsidR="0025172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172E" w:rsidRPr="00A14BBF" w:rsidRDefault="008C12E6" w:rsidP="00CA462A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FA1867" w:rsidRPr="00A14BBF" w:rsidRDefault="008C12E6" w:rsidP="005E2C19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bCs/>
              </w:rPr>
              <w:t>Přeshraniční přeprava odpadů do ČR je povolována jen za účelem využití v zařízeních, která jsou provozována na základě povolení. Obdobná hlediska jsou uplatňována při přeshraniční přepravě odpadů z ČR. Pravidelně je prováděna kontrola dodržování pravidel p</w:t>
            </w:r>
            <w:r w:rsidRPr="00A14BBF">
              <w:rPr>
                <w:bCs/>
              </w:rPr>
              <w:t xml:space="preserve">řeshraničního pohybu odpadů. </w:t>
            </w:r>
            <w:r w:rsidR="005E2C19" w:rsidRPr="00A14BBF">
              <w:rPr>
                <w:bCs/>
              </w:rPr>
              <w:t>MŽP a</w:t>
            </w:r>
            <w:r w:rsidRPr="00A14BBF">
              <w:rPr>
                <w:bCs/>
              </w:rPr>
              <w:t xml:space="preserve"> kontrolní orgány navzájem trvale spolupracují v rámci ČR i s orgány sousedních států při předcházení, odhalování a</w:t>
            </w:r>
            <w:r w:rsidR="005E2C19" w:rsidRPr="00A14BBF">
              <w:rPr>
                <w:bCs/>
              </w:rPr>
              <w:t> </w:t>
            </w:r>
            <w:r w:rsidRPr="00A14BBF">
              <w:rPr>
                <w:bCs/>
              </w:rPr>
              <w:t>postihování nedovolené přepravy odpadů.</w:t>
            </w:r>
          </w:p>
        </w:tc>
      </w:tr>
    </w:tbl>
    <w:p w:rsidR="009863D2" w:rsidRPr="00A14BBF" w:rsidRDefault="009863D2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417"/>
        <w:gridCol w:w="5245"/>
      </w:tblGrid>
      <w:tr w:rsidR="007E5173" w:rsidTr="00CF6FE7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6469D" w:rsidRPr="00A14BBF" w:rsidRDefault="008C12E6" w:rsidP="00293546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46.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</w:pPr>
            <w:r w:rsidRPr="00A14BBF">
              <w:t>3.6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b/>
                <w:bCs/>
                <w:iCs/>
              </w:rPr>
              <w:t xml:space="preserve">Omezit odkládání odpadů mimo místa k tomu určená. </w:t>
            </w:r>
          </w:p>
        </w:tc>
      </w:tr>
      <w:tr w:rsidR="007E5173" w:rsidTr="00CF6FE7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172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A020A" w:rsidRPr="00A14BBF" w:rsidRDefault="008C12E6" w:rsidP="004A020A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615645" w:rsidRPr="00A14BBF" w:rsidRDefault="008C12E6" w:rsidP="008013AE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>V</w:t>
            </w:r>
            <w:r w:rsidR="00CF6FE7" w:rsidRPr="00A14BBF">
              <w:rPr>
                <w:rFonts w:cstheme="minorHAnsi"/>
                <w:color w:val="000000"/>
              </w:rPr>
              <w:t> </w:t>
            </w:r>
            <w:r w:rsidRPr="00A14BBF">
              <w:rPr>
                <w:rFonts w:cstheme="minorHAnsi"/>
                <w:color w:val="000000"/>
              </w:rPr>
              <w:t>nové</w:t>
            </w:r>
            <w:r w:rsidR="00CF6FE7" w:rsidRPr="00A14BBF">
              <w:rPr>
                <w:rFonts w:cstheme="minorHAnsi"/>
                <w:color w:val="000000"/>
              </w:rPr>
              <w:t xml:space="preserve">m zákoně </w:t>
            </w:r>
            <w:r w:rsidRPr="00A14BBF">
              <w:rPr>
                <w:rFonts w:cstheme="minorHAnsi"/>
                <w:color w:val="000000"/>
              </w:rPr>
              <w:t xml:space="preserve">o odpadech je </w:t>
            </w:r>
            <w:r w:rsidR="005E2C19" w:rsidRPr="00A14BBF">
              <w:rPr>
                <w:rFonts w:cstheme="minorHAnsi"/>
                <w:color w:val="000000"/>
              </w:rPr>
              <w:t xml:space="preserve">připraveno </w:t>
            </w:r>
            <w:r w:rsidRPr="00A14BBF">
              <w:rPr>
                <w:szCs w:val="24"/>
              </w:rPr>
              <w:t>řešení vedoucí k omezení soustřeďování odpadů mimo místa k tomu určená</w:t>
            </w:r>
            <w:r w:rsidR="00ED588A" w:rsidRPr="00A14BBF">
              <w:rPr>
                <w:szCs w:val="24"/>
              </w:rPr>
              <w:t xml:space="preserve">, </w:t>
            </w:r>
            <w:r w:rsidR="00CF6FE7" w:rsidRPr="00A14BBF">
              <w:rPr>
                <w:szCs w:val="24"/>
              </w:rPr>
              <w:t xml:space="preserve">od účinnosti zákona </w:t>
            </w:r>
            <w:r w:rsidR="00ED588A" w:rsidRPr="00A14BBF">
              <w:rPr>
                <w:szCs w:val="24"/>
              </w:rPr>
              <w:t xml:space="preserve">bude jasně stanovena odpovědnost za tyto odpady. </w:t>
            </w:r>
            <w:r w:rsidR="00CF6FE7" w:rsidRPr="00A14BBF">
              <w:rPr>
                <w:szCs w:val="24"/>
              </w:rPr>
              <w:t xml:space="preserve">Na konci roku 2020 byl přijat nový zákon o odpadech. </w:t>
            </w:r>
            <w:r w:rsidRPr="00A14BBF">
              <w:rPr>
                <w:szCs w:val="24"/>
              </w:rPr>
              <w:t>V</w:t>
            </w:r>
            <w:r w:rsidR="00CF6FE7" w:rsidRPr="00A14BBF">
              <w:rPr>
                <w:szCs w:val="24"/>
              </w:rPr>
              <w:t xml:space="preserve"> zákoně </w:t>
            </w:r>
            <w:r w:rsidRPr="00A14BBF">
              <w:rPr>
                <w:szCs w:val="24"/>
              </w:rPr>
              <w:t>je zavedena povinnost původce odpadů nebo provozovatele zařízení odstranit odpady shromážděné v provozovně nebo zařízení v případě ukončení provozu provozovny nebo zařízení a dále přenos odpověd</w:t>
            </w:r>
            <w:r w:rsidRPr="00A14BBF">
              <w:rPr>
                <w:szCs w:val="24"/>
              </w:rPr>
              <w:t xml:space="preserve">nosti za tyto odpady na dalšího vlastníka provozovny nebo zařízení. </w:t>
            </w:r>
          </w:p>
        </w:tc>
      </w:tr>
    </w:tbl>
    <w:p w:rsidR="009863D2" w:rsidRPr="00A14BBF" w:rsidRDefault="009863D2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417"/>
        <w:gridCol w:w="5245"/>
      </w:tblGrid>
      <w:tr w:rsidR="007E5173" w:rsidTr="0047692F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6469D" w:rsidRPr="00A14BBF" w:rsidRDefault="008C12E6" w:rsidP="006D4C96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47.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</w:pPr>
            <w:r w:rsidRPr="00A14BBF">
              <w:t>3.6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6469D" w:rsidRPr="00A14BBF" w:rsidRDefault="008C12E6" w:rsidP="001C1AF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14BBF">
              <w:rPr>
                <w:b/>
                <w:bCs/>
                <w:iCs/>
              </w:rPr>
              <w:t xml:space="preserve">Zajistit správné nakládání s odpady odloženými mimo místa k tomu určená a s odpady, jejichž vlastník není znám nebo zanikl. </w:t>
            </w:r>
          </w:p>
        </w:tc>
      </w:tr>
      <w:tr w:rsidR="007E5173" w:rsidTr="0047692F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172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935A6" w:rsidRPr="00A14BBF" w:rsidRDefault="008C12E6" w:rsidP="004935A6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9E7136" w:rsidRPr="00A14BBF" w:rsidRDefault="008C12E6" w:rsidP="00BA423B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V novém zákoně o odpadech je připraveno </w:t>
            </w:r>
            <w:r w:rsidRPr="00A14BBF">
              <w:rPr>
                <w:szCs w:val="24"/>
              </w:rPr>
              <w:t>řešení</w:t>
            </w:r>
            <w:r w:rsidRPr="00A14BBF">
              <w:rPr>
                <w:rFonts w:cstheme="minorHAnsi"/>
                <w:color w:val="000000"/>
              </w:rPr>
              <w:t xml:space="preserve"> </w:t>
            </w:r>
            <w:r w:rsidR="008013AE" w:rsidRPr="00A14BBF">
              <w:rPr>
                <w:szCs w:val="24"/>
              </w:rPr>
              <w:t xml:space="preserve">správného nakládání s odpady, které jsou soustředěny mimo místa k tomu určená. </w:t>
            </w:r>
            <w:r w:rsidR="008013AE" w:rsidRPr="00A14BBF">
              <w:rPr>
                <w:rFonts w:eastAsia="Calibri" w:cs="Times New Roman"/>
                <w:szCs w:val="24"/>
              </w:rPr>
              <w:t xml:space="preserve">V tomto procesu bude součinnost poskytovat obecní úřad obce s rozšířenou působností. Obecní úřad </w:t>
            </w:r>
            <w:r w:rsidR="00BA423B" w:rsidRPr="00A14BBF">
              <w:rPr>
                <w:rFonts w:eastAsia="Calibri" w:cs="Times New Roman"/>
                <w:szCs w:val="24"/>
              </w:rPr>
              <w:t xml:space="preserve">obce s rozšířenou působností </w:t>
            </w:r>
            <w:r w:rsidR="008013AE" w:rsidRPr="00A14BBF">
              <w:rPr>
                <w:rFonts w:eastAsia="Calibri" w:cs="Times New Roman"/>
                <w:szCs w:val="24"/>
              </w:rPr>
              <w:t xml:space="preserve">bude moci v případě nečinnosti vlastníka pozemku na vlastní náklady </w:t>
            </w:r>
            <w:r w:rsidR="008013AE" w:rsidRPr="00A14BBF">
              <w:rPr>
                <w:rFonts w:eastAsia="Times New Roman"/>
                <w:bCs/>
                <w:szCs w:val="24"/>
                <w:lang w:eastAsia="cs-CZ"/>
              </w:rPr>
              <w:t>zabezpečit odpad, který ohrožuje životní prostředí, před únikem škodlivin do okolního prostředí, nebo nelegálně soustředěný odpad odklidit a předat do zařízení určeného pro nakládání s odpady.</w:t>
            </w:r>
            <w:r w:rsidR="008013AE" w:rsidRPr="00A14BBF">
              <w:rPr>
                <w:rFonts w:eastAsia="Calibri" w:cs="Times New Roman"/>
                <w:szCs w:val="24"/>
              </w:rPr>
              <w:t xml:space="preserve"> </w:t>
            </w:r>
            <w:r w:rsidRPr="00A14BBF">
              <w:rPr>
                <w:rFonts w:eastAsia="Calibri" w:cs="Times New Roman"/>
                <w:szCs w:val="24"/>
              </w:rPr>
              <w:t xml:space="preserve">V roce 2020 je připravován dotační titul na </w:t>
            </w:r>
            <w:r w:rsidR="008013AE" w:rsidRPr="00A14BBF">
              <w:rPr>
                <w:rFonts w:eastAsia="Calibri" w:cs="Times New Roman"/>
                <w:szCs w:val="24"/>
              </w:rPr>
              <w:t xml:space="preserve">odstraňování takových černých skládek </w:t>
            </w:r>
            <w:r w:rsidRPr="00A14BBF">
              <w:rPr>
                <w:rFonts w:eastAsia="Calibri" w:cs="Times New Roman"/>
                <w:szCs w:val="24"/>
              </w:rPr>
              <w:t xml:space="preserve">s možností </w:t>
            </w:r>
            <w:r w:rsidR="008013AE" w:rsidRPr="00A14BBF">
              <w:rPr>
                <w:rFonts w:eastAsia="Calibri" w:cs="Times New Roman"/>
                <w:szCs w:val="24"/>
              </w:rPr>
              <w:t>čerpat prostředky ze Státního fondu životního prostředí</w:t>
            </w:r>
            <w:r w:rsidR="009E69CE" w:rsidRPr="00A14BBF">
              <w:rPr>
                <w:rFonts w:eastAsia="Calibri" w:cs="Times New Roman"/>
                <w:szCs w:val="24"/>
              </w:rPr>
              <w:t xml:space="preserve"> ČR</w:t>
            </w:r>
            <w:r w:rsidR="008013AE" w:rsidRPr="00A14BBF">
              <w:rPr>
                <w:rFonts w:eastAsia="Calibri" w:cs="Times New Roman"/>
                <w:szCs w:val="24"/>
              </w:rPr>
              <w:t>.</w:t>
            </w:r>
            <w:r w:rsidRPr="00A14BBF">
              <w:rPr>
                <w:rFonts w:eastAsia="Calibri" w:cs="Times New Roman"/>
                <w:szCs w:val="24"/>
              </w:rPr>
              <w:t xml:space="preserve"> </w:t>
            </w:r>
            <w:r w:rsidRPr="00A14BBF">
              <w:rPr>
                <w:szCs w:val="24"/>
              </w:rPr>
              <w:t>Na konci roku 2020 byl přijat nový zákon o odpadech.</w:t>
            </w:r>
          </w:p>
        </w:tc>
      </w:tr>
    </w:tbl>
    <w:p w:rsidR="009863D2" w:rsidRPr="00A14BBF" w:rsidRDefault="009863D2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417"/>
        <w:gridCol w:w="5245"/>
      </w:tblGrid>
      <w:tr w:rsidR="007E5173" w:rsidTr="005E2C19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69D" w:rsidRPr="00A14BBF" w:rsidRDefault="008C12E6" w:rsidP="00293546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69D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6469D" w:rsidRPr="00A14BBF" w:rsidRDefault="008C12E6" w:rsidP="001C1AF2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Koordinovaným a jednotným přístupem</w:t>
            </w:r>
            <w:r w:rsidRPr="00A14BBF">
              <w:rPr>
                <w:b/>
              </w:rPr>
              <w:t xml:space="preserve"> vytvořit podmínky k nižší spotřebě primárních zdrojů a postupnému snižování produkce odpadů.</w:t>
            </w:r>
          </w:p>
        </w:tc>
      </w:tr>
      <w:tr w:rsidR="007E5173" w:rsidTr="005E2C19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172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4C1" w:rsidRPr="00A14BBF" w:rsidRDefault="008C12E6" w:rsidP="004E14C1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A85478" w:rsidRPr="00A14BBF" w:rsidRDefault="008C12E6" w:rsidP="00A85478">
            <w:pPr>
              <w:spacing w:line="276" w:lineRule="auto"/>
            </w:pPr>
            <w:r w:rsidRPr="00A14BBF">
              <w:rPr>
                <w:rFonts w:ascii="Calibri" w:hAnsi="Calibri" w:cs="Calibri"/>
                <w:szCs w:val="24"/>
              </w:rPr>
              <w:t xml:space="preserve">V letech </w:t>
            </w:r>
            <w:r w:rsidR="00C1329D" w:rsidRPr="00A14BBF">
              <w:rPr>
                <w:rFonts w:ascii="Calibri" w:hAnsi="Calibri" w:cs="Calibri"/>
                <w:szCs w:val="24"/>
              </w:rPr>
              <w:t>2019</w:t>
            </w:r>
            <w:r w:rsidR="00C1329D">
              <w:rPr>
                <w:rFonts w:ascii="Calibri" w:hAnsi="Calibri" w:cs="Calibri"/>
                <w:szCs w:val="24"/>
              </w:rPr>
              <w:t>–2020</w:t>
            </w:r>
            <w:r w:rsidRPr="00A14BBF">
              <w:rPr>
                <w:rFonts w:ascii="Calibri" w:hAnsi="Calibri" w:cs="Calibri"/>
                <w:szCs w:val="24"/>
              </w:rPr>
              <w:t xml:space="preserve"> se </w:t>
            </w:r>
            <w:r w:rsidR="005E2C19" w:rsidRPr="00A14BBF">
              <w:rPr>
                <w:rFonts w:ascii="Calibri" w:hAnsi="Calibri" w:cs="Calibri"/>
                <w:szCs w:val="24"/>
              </w:rPr>
              <w:t xml:space="preserve">v </w:t>
            </w:r>
            <w:r w:rsidRPr="00A14BBF">
              <w:rPr>
                <w:rFonts w:ascii="Calibri" w:hAnsi="Calibri" w:cs="Calibri"/>
                <w:szCs w:val="24"/>
              </w:rPr>
              <w:t xml:space="preserve">ČR </w:t>
            </w:r>
            <w:r w:rsidR="004923D5" w:rsidRPr="00A14BBF">
              <w:rPr>
                <w:rFonts w:ascii="Calibri" w:hAnsi="Calibri" w:cs="Calibri"/>
                <w:szCs w:val="24"/>
              </w:rPr>
              <w:t xml:space="preserve">dále </w:t>
            </w:r>
            <w:r w:rsidRPr="00A14BBF">
              <w:rPr>
                <w:rFonts w:ascii="Calibri" w:hAnsi="Calibri" w:cs="Calibri"/>
                <w:szCs w:val="24"/>
              </w:rPr>
              <w:t>rozvíje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ly </w:t>
            </w:r>
            <w:r w:rsidRPr="00A14BBF">
              <w:rPr>
                <w:rFonts w:ascii="Calibri" w:hAnsi="Calibri" w:cs="Calibri"/>
                <w:szCs w:val="24"/>
              </w:rPr>
              <w:t xml:space="preserve">aktivity související s předcházením vzniku odpadů 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započaté již v předešlých letech a také zcela nové. Jednalo se především </w:t>
            </w:r>
            <w:r w:rsidRPr="00A14BBF">
              <w:rPr>
                <w:rFonts w:ascii="Calibri" w:hAnsi="Calibri" w:cs="Calibri"/>
                <w:szCs w:val="24"/>
              </w:rPr>
              <w:t xml:space="preserve">o 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akce </w:t>
            </w:r>
            <w:r w:rsidRPr="00A14BBF">
              <w:rPr>
                <w:rFonts w:ascii="Calibri" w:hAnsi="Calibri" w:cs="Calibri"/>
                <w:szCs w:val="24"/>
              </w:rPr>
              <w:t xml:space="preserve">v rámci aktivit 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krajů, </w:t>
            </w:r>
            <w:r w:rsidRPr="00A14BBF">
              <w:rPr>
                <w:rFonts w:ascii="Calibri" w:hAnsi="Calibri" w:cs="Calibri"/>
                <w:szCs w:val="24"/>
              </w:rPr>
              <w:t>obcí, podnikatelských subjektů, neziskových organizací</w:t>
            </w:r>
            <w:r w:rsidR="008F67D0" w:rsidRPr="00A14BBF">
              <w:rPr>
                <w:rFonts w:ascii="Calibri" w:hAnsi="Calibri" w:cs="Calibri"/>
                <w:szCs w:val="24"/>
              </w:rPr>
              <w:t xml:space="preserve">, 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dobrovolných, charitativních společností, </w:t>
            </w:r>
            <w:r w:rsidR="008F67D0" w:rsidRPr="00A14BBF">
              <w:rPr>
                <w:rFonts w:ascii="Calibri" w:hAnsi="Calibri" w:cs="Calibri"/>
                <w:szCs w:val="24"/>
              </w:rPr>
              <w:t xml:space="preserve">kolektivních systémů </w:t>
            </w:r>
            <w:r w:rsidRPr="00A14BBF">
              <w:rPr>
                <w:rFonts w:ascii="Calibri" w:hAnsi="Calibri" w:cs="Calibri"/>
                <w:szCs w:val="24"/>
              </w:rPr>
              <w:t>a školských zařízení. Aktivně byla</w:t>
            </w:r>
            <w:r w:rsidRPr="00A14BBF">
              <w:rPr>
                <w:rFonts w:ascii="Calibri" w:hAnsi="Calibri" w:cs="Calibri"/>
                <w:szCs w:val="24"/>
              </w:rPr>
              <w:t xml:space="preserve"> řešena problematika omezování vzniku potravinového odpadu.</w:t>
            </w:r>
            <w:r w:rsidR="008F67D0" w:rsidRPr="00A14BBF">
              <w:rPr>
                <w:rFonts w:ascii="Calibri" w:hAnsi="Calibri" w:cs="Calibri"/>
                <w:szCs w:val="24"/>
              </w:rPr>
              <w:t xml:space="preserve"> </w:t>
            </w:r>
            <w:r w:rsidRPr="00A14BBF">
              <w:t>V posledních letech se rozrostly a zintenzivnily svou činnost potravinové banky. V tomto období má Česká federace potravinových bank 15 členů. Banky zachraňují potraviny, předchází potravinovému o</w:t>
            </w:r>
            <w:r w:rsidRPr="00A14BBF">
              <w:t xml:space="preserve">dpadu a rozdělují jídlo potřebným. </w:t>
            </w:r>
          </w:p>
          <w:p w:rsidR="00A85478" w:rsidRPr="00A14BBF" w:rsidRDefault="008C12E6" w:rsidP="00A85478">
            <w:pPr>
              <w:spacing w:line="276" w:lineRule="auto"/>
            </w:pPr>
            <w:r w:rsidRPr="00A14BBF">
              <w:t xml:space="preserve">V letech </w:t>
            </w:r>
            <w:r w:rsidR="00C1329D" w:rsidRPr="00A14BBF">
              <w:t>2019–2020</w:t>
            </w:r>
            <w:r w:rsidRPr="00A14BBF">
              <w:t xml:space="preserve"> bylo zorganizováno nejméně 50 různých re-use aktivit a akcí přispívajících k prevenci vzniku odpadů.  </w:t>
            </w:r>
          </w:p>
          <w:p w:rsidR="00A85478" w:rsidRPr="00A14BBF" w:rsidRDefault="008C12E6" w:rsidP="00A85478">
            <w:pPr>
              <w:spacing w:line="276" w:lineRule="auto"/>
            </w:pPr>
            <w:r w:rsidRPr="00A14BBF">
              <w:t xml:space="preserve">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byly silně informačně a dotačně podporovány různé akce k předcházení vzniku odp</w:t>
            </w:r>
            <w:r w:rsidRPr="00A14BBF">
              <w:t xml:space="preserve">adů. V rámci výzev Operačních programů se podpořily moderní inovativní technologie s nižší produkcí odpadů. </w:t>
            </w:r>
          </w:p>
          <w:p w:rsidR="00A85478" w:rsidRPr="00A14BBF" w:rsidRDefault="008C12E6" w:rsidP="00A85478">
            <w:pPr>
              <w:spacing w:line="276" w:lineRule="auto"/>
            </w:pPr>
            <w:r w:rsidRPr="00A14BBF">
              <w:t>včetně komunitního a domácího kompostování. Celkově bylo předáno zájemcům 180 tisíc kompostérů.</w:t>
            </w:r>
          </w:p>
          <w:p w:rsidR="00A85478" w:rsidRPr="00A14BBF" w:rsidRDefault="008C12E6" w:rsidP="00A85478">
            <w:pPr>
              <w:spacing w:line="276" w:lineRule="auto"/>
            </w:pPr>
            <w:r w:rsidRPr="00A14BBF">
              <w:lastRenderedPageBreak/>
              <w:t xml:space="preserve">V obcích po celé ČR a v občanských sdruženích jsou </w:t>
            </w:r>
            <w:r w:rsidRPr="00A14BBF">
              <w:t xml:space="preserve">pravidelně organizovány bazary zejména dětského oblečení, hraček, knih, sportovního náčiní apod. V obcích také v rámci sběrných dvorů stále častěji vznikají re-use koutky nabízející ještě funkční movité věci.  </w:t>
            </w:r>
          </w:p>
          <w:p w:rsidR="00A85478" w:rsidRPr="00A14BBF" w:rsidRDefault="008C12E6" w:rsidP="00A85478">
            <w:pPr>
              <w:spacing w:line="276" w:lineRule="auto"/>
            </w:pPr>
            <w:r w:rsidRPr="00A14BBF">
              <w:t>Dále jsou v předcházení vzniku odpadů aktivní</w:t>
            </w:r>
            <w:r w:rsidRPr="00A14BBF">
              <w:t xml:space="preserve"> kolektivní systémy a</w:t>
            </w:r>
            <w:r w:rsidR="004E14C1" w:rsidRPr="00A14BBF">
              <w:t> </w:t>
            </w:r>
            <w:r w:rsidRPr="00A14BBF">
              <w:t xml:space="preserve">autorizovaná obalová společnost často také ve spolupráci s kraji. Ti svými akcemi a výchovnými edukačními materiály přispívají k prevenci vzniku odpadů. 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uspořádali okolo 14 akcí. </w:t>
            </w:r>
          </w:p>
          <w:p w:rsidR="00045992" w:rsidRPr="00A14BBF" w:rsidRDefault="008C12E6" w:rsidP="00045992">
            <w:pPr>
              <w:autoSpaceDE w:val="0"/>
              <w:autoSpaceDN w:val="0"/>
              <w:adjustRightInd w:val="0"/>
              <w:spacing w:line="276" w:lineRule="auto"/>
            </w:pPr>
            <w:r w:rsidRPr="00A14BBF">
              <w:rPr>
                <w:rFonts w:ascii="Calibri" w:hAnsi="Calibri" w:cs="Calibri"/>
                <w:szCs w:val="24"/>
              </w:rPr>
              <w:t>P</w:t>
            </w:r>
            <w:r w:rsidR="00B36164" w:rsidRPr="00A14BBF">
              <w:rPr>
                <w:rFonts w:ascii="Calibri" w:hAnsi="Calibri" w:cs="Calibri"/>
                <w:szCs w:val="24"/>
              </w:rPr>
              <w:t xml:space="preserve">ředcházení vzniku odpadů </w:t>
            </w:r>
            <w:r w:rsidRPr="00A14BBF">
              <w:rPr>
                <w:rFonts w:ascii="Calibri" w:hAnsi="Calibri" w:cs="Calibri"/>
                <w:szCs w:val="24"/>
              </w:rPr>
              <w:t xml:space="preserve">bylo </w:t>
            </w:r>
            <w:r w:rsidR="00B36164" w:rsidRPr="00A14BBF">
              <w:rPr>
                <w:rFonts w:ascii="Calibri" w:hAnsi="Calibri" w:cs="Calibri"/>
                <w:szCs w:val="24"/>
              </w:rPr>
              <w:t>tématem řady výzkumných prací a</w:t>
            </w:r>
            <w:r w:rsidR="006F1971" w:rsidRPr="00A14BBF">
              <w:rPr>
                <w:rFonts w:ascii="Calibri" w:hAnsi="Calibri" w:cs="Calibri"/>
                <w:szCs w:val="24"/>
              </w:rPr>
              <w:t> </w:t>
            </w:r>
            <w:r w:rsidR="00B36164" w:rsidRPr="00A14BBF">
              <w:rPr>
                <w:rFonts w:ascii="Calibri" w:hAnsi="Calibri" w:cs="Calibri"/>
                <w:szCs w:val="24"/>
              </w:rPr>
              <w:t>projektů, rovněž se objevuje v řadě strategických dokumentů ČR.</w:t>
            </w:r>
            <w:r w:rsidRPr="00A14BBF">
              <w:rPr>
                <w:rFonts w:ascii="Calibri" w:hAnsi="Calibri" w:cs="Calibri"/>
                <w:szCs w:val="24"/>
              </w:rPr>
              <w:t xml:space="preserve"> </w:t>
            </w:r>
            <w:r w:rsidRPr="00A14BBF">
              <w:t xml:space="preserve">Celkově bylo podpořeno a probíhalo v letech </w:t>
            </w:r>
            <w:r w:rsidR="00C1329D" w:rsidRPr="00A14BBF">
              <w:t>2019–2020</w:t>
            </w:r>
            <w:r w:rsidRPr="00A14BBF">
              <w:t xml:space="preserve"> 127 cca projektů zahrnujících v sobě i problematiku předcházení vzniku odpadů a zlepšení odpadového a oběhového hospodářství.</w:t>
            </w:r>
          </w:p>
          <w:p w:rsidR="00B36164" w:rsidRPr="00A14BBF" w:rsidRDefault="008C12E6" w:rsidP="009E713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Cs w:val="24"/>
              </w:rPr>
            </w:pPr>
            <w:r w:rsidRPr="00A14BBF">
              <w:rPr>
                <w:rFonts w:ascii="Calibri" w:hAnsi="Calibri" w:cs="Calibri"/>
                <w:szCs w:val="24"/>
              </w:rPr>
              <w:t>Zv</w:t>
            </w:r>
            <w:r w:rsidR="008F67D0" w:rsidRPr="00A14BBF">
              <w:rPr>
                <w:rFonts w:ascii="Calibri" w:hAnsi="Calibri" w:cs="Calibri"/>
                <w:szCs w:val="24"/>
              </w:rPr>
              <w:t>y</w:t>
            </w:r>
            <w:r w:rsidRPr="00A14BBF">
              <w:rPr>
                <w:rFonts w:ascii="Calibri" w:hAnsi="Calibri" w:cs="Calibri"/>
                <w:szCs w:val="24"/>
              </w:rPr>
              <w:t>šuje se osvěta a</w:t>
            </w:r>
            <w:r w:rsidR="009E7136" w:rsidRPr="00A14BBF">
              <w:rPr>
                <w:rFonts w:ascii="Calibri" w:hAnsi="Calibri" w:cs="Calibri"/>
                <w:szCs w:val="24"/>
              </w:rPr>
              <w:t> </w:t>
            </w:r>
            <w:r w:rsidRPr="00A14BBF">
              <w:rPr>
                <w:rFonts w:ascii="Calibri" w:hAnsi="Calibri" w:cs="Calibri"/>
                <w:szCs w:val="24"/>
              </w:rPr>
              <w:t xml:space="preserve">povědomí o potřebě 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předcházet vzniku odpadů, </w:t>
            </w:r>
            <w:r w:rsidRPr="00A14BBF">
              <w:rPr>
                <w:rFonts w:ascii="Calibri" w:hAnsi="Calibri" w:cs="Calibri"/>
                <w:szCs w:val="24"/>
              </w:rPr>
              <w:t xml:space="preserve">snižovat 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jejich </w:t>
            </w:r>
            <w:r w:rsidRPr="00A14BBF">
              <w:rPr>
                <w:rFonts w:ascii="Calibri" w:hAnsi="Calibri" w:cs="Calibri"/>
                <w:szCs w:val="24"/>
              </w:rPr>
              <w:t>produkci</w:t>
            </w:r>
            <w:r w:rsidR="009E7136" w:rsidRPr="00A14BBF">
              <w:rPr>
                <w:rFonts w:ascii="Calibri" w:hAnsi="Calibri" w:cs="Calibri"/>
                <w:szCs w:val="24"/>
              </w:rPr>
              <w:t xml:space="preserve"> </w:t>
            </w:r>
            <w:r w:rsidR="008F67D0" w:rsidRPr="00A14BBF">
              <w:rPr>
                <w:rFonts w:ascii="Calibri" w:hAnsi="Calibri" w:cs="Calibri"/>
                <w:szCs w:val="24"/>
              </w:rPr>
              <w:t>a zvyšovat jejich využití</w:t>
            </w:r>
            <w:r w:rsidRPr="00A14BBF">
              <w:rPr>
                <w:rFonts w:ascii="Calibri" w:hAnsi="Calibri" w:cs="Calibri"/>
                <w:szCs w:val="24"/>
              </w:rPr>
              <w:t xml:space="preserve">. </w:t>
            </w:r>
          </w:p>
        </w:tc>
      </w:tr>
    </w:tbl>
    <w:p w:rsidR="00D66A1B" w:rsidRPr="00A14BBF" w:rsidRDefault="00D66A1B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E14B30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293546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</w:t>
            </w:r>
            <w:r w:rsidRPr="00A14BBF">
              <w:t>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18339B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>Po celou dobu realizace Programu předcházení vzniku odpadů zajistit komplexní informační podporu o problematice, včetně zavedení problematiky předcházení vzniku odpadů do školních osnov, výzkumných programů a</w:t>
            </w:r>
            <w:r w:rsidR="0018339B" w:rsidRPr="00A14BBF">
              <w:rPr>
                <w:rFonts w:cs="Arial"/>
                <w:b/>
                <w:szCs w:val="24"/>
              </w:rPr>
              <w:t> </w:t>
            </w:r>
            <w:r w:rsidRPr="00A14BBF">
              <w:rPr>
                <w:rFonts w:cs="Arial"/>
                <w:b/>
                <w:szCs w:val="24"/>
              </w:rPr>
              <w:t xml:space="preserve">výchovných, osvětových a vzdělávacích </w:t>
            </w:r>
            <w:r w:rsidRPr="00A14BBF">
              <w:rPr>
                <w:rFonts w:cs="Arial"/>
                <w:b/>
                <w:szCs w:val="24"/>
              </w:rPr>
              <w:t>aktivit související s ochranou a tvorbou životního prostředí.</w:t>
            </w:r>
          </w:p>
        </w:tc>
      </w:tr>
      <w:tr w:rsidR="007E5173" w:rsidTr="00E14B30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7203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B1D64" w:rsidRPr="00A14BBF" w:rsidRDefault="008C12E6" w:rsidP="001B1D64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4923D5" w:rsidRPr="00A14BBF" w:rsidRDefault="008C12E6" w:rsidP="004923D5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V letech </w:t>
            </w:r>
            <w:r w:rsidR="00C1329D" w:rsidRPr="00A14BBF">
              <w:rPr>
                <w:rFonts w:cstheme="minorHAnsi"/>
                <w:color w:val="000000"/>
              </w:rPr>
              <w:t>2019</w:t>
            </w:r>
            <w:r w:rsidR="00C1329D">
              <w:rPr>
                <w:rFonts w:cstheme="minorHAnsi"/>
                <w:color w:val="000000"/>
              </w:rPr>
              <w:t>–2020</w:t>
            </w:r>
            <w:r w:rsidRPr="00A14BBF">
              <w:rPr>
                <w:rFonts w:cstheme="minorHAnsi"/>
                <w:color w:val="000000"/>
              </w:rPr>
              <w:t xml:space="preserve"> pokračovalo naplňování </w:t>
            </w:r>
            <w:r w:rsidR="001B1D64" w:rsidRPr="00A14BBF">
              <w:rPr>
                <w:rFonts w:cstheme="minorHAnsi"/>
                <w:color w:val="000000"/>
              </w:rPr>
              <w:t>Státní</w:t>
            </w:r>
            <w:r w:rsidRPr="00A14BBF">
              <w:rPr>
                <w:rFonts w:cstheme="minorHAnsi"/>
                <w:color w:val="000000"/>
              </w:rPr>
              <w:t>ho</w:t>
            </w:r>
            <w:r w:rsidR="001B1D64" w:rsidRPr="00A14BBF">
              <w:rPr>
                <w:rFonts w:cstheme="minorHAnsi"/>
                <w:color w:val="000000"/>
              </w:rPr>
              <w:t xml:space="preserve"> program</w:t>
            </w:r>
            <w:r w:rsidRPr="00A14BBF">
              <w:rPr>
                <w:rFonts w:cstheme="minorHAnsi"/>
                <w:color w:val="000000"/>
              </w:rPr>
              <w:t>u</w:t>
            </w:r>
            <w:r w:rsidR="001B1D64" w:rsidRPr="00A14BBF">
              <w:rPr>
                <w:rFonts w:cstheme="minorHAnsi"/>
                <w:color w:val="000000"/>
              </w:rPr>
              <w:t xml:space="preserve"> environmentálního vzdělávání, výchovy a osvěty </w:t>
            </w:r>
            <w:r w:rsidRPr="00A14BBF">
              <w:rPr>
                <w:rFonts w:cstheme="minorHAnsi"/>
                <w:color w:val="000000"/>
              </w:rPr>
              <w:t xml:space="preserve">(EVVO) </w:t>
            </w:r>
            <w:r w:rsidR="001B1D64" w:rsidRPr="00A14BBF">
              <w:rPr>
                <w:rFonts w:cstheme="minorHAnsi"/>
                <w:color w:val="000000"/>
              </w:rPr>
              <w:t xml:space="preserve">a environmentálního poradenství </w:t>
            </w:r>
            <w:r w:rsidRPr="00A14BBF">
              <w:rPr>
                <w:rFonts w:cstheme="minorHAnsi"/>
                <w:color w:val="000000"/>
              </w:rPr>
              <w:t xml:space="preserve">(EP) </w:t>
            </w:r>
            <w:r w:rsidR="001B1D64" w:rsidRPr="00A14BBF">
              <w:rPr>
                <w:rFonts w:cstheme="minorHAnsi"/>
                <w:color w:val="000000"/>
              </w:rPr>
              <w:t xml:space="preserve">na léta </w:t>
            </w:r>
            <w:r w:rsidR="00C1329D" w:rsidRPr="00A14BBF">
              <w:rPr>
                <w:rFonts w:cstheme="minorHAnsi"/>
                <w:color w:val="000000"/>
              </w:rPr>
              <w:t>2016</w:t>
            </w:r>
            <w:r w:rsidR="00C1329D">
              <w:rPr>
                <w:rFonts w:cstheme="minorHAnsi"/>
                <w:color w:val="000000"/>
              </w:rPr>
              <w:t>–2025</w:t>
            </w:r>
            <w:r w:rsidR="001B1D64" w:rsidRPr="00A14BBF">
              <w:rPr>
                <w:rFonts w:cstheme="minorHAnsi"/>
                <w:color w:val="000000"/>
              </w:rPr>
              <w:t>.</w:t>
            </w:r>
          </w:p>
          <w:p w:rsidR="00D306A9" w:rsidRPr="00A14BBF" w:rsidRDefault="008C12E6" w:rsidP="004E14C1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Napříč ČR se aktivně do EVVO a EP zapojuje mnoho organizací: </w:t>
            </w:r>
            <w:r w:rsidRPr="00A14BBF">
              <w:t xml:space="preserve">orgány státní správy, kraje, obce, státní instituce, střediska ekologické výchovy, ekologické poradny, neziskové organizace a další. </w:t>
            </w:r>
            <w:r w:rsidRPr="00A14BBF">
              <w:rPr>
                <w:rFonts w:cstheme="minorHAnsi"/>
                <w:color w:val="000000"/>
              </w:rPr>
              <w:t xml:space="preserve">Byly </w:t>
            </w:r>
            <w:r w:rsidRPr="00A14BBF">
              <w:rPr>
                <w:rFonts w:cs="Tahoma"/>
                <w:szCs w:val="24"/>
              </w:rPr>
              <w:t>vydávány tištěné a digitální propagačn</w:t>
            </w:r>
            <w:r w:rsidRPr="00A14BBF">
              <w:rPr>
                <w:rFonts w:cs="Tahoma"/>
                <w:szCs w:val="24"/>
              </w:rPr>
              <w:t xml:space="preserve">í a informační materiály, byly zapojováni občané, všechny úrovně škol, výuková střediska a další. </w:t>
            </w:r>
            <w:r w:rsidR="001B1D64" w:rsidRPr="00A14BBF">
              <w:rPr>
                <w:rFonts w:cstheme="minorHAnsi"/>
                <w:color w:val="000000"/>
              </w:rPr>
              <w:t>V této oblasti byly řešeny výzkumné projekty a připraveny metodické pomůcky.</w:t>
            </w:r>
            <w:r w:rsidR="001B1D64" w:rsidRPr="00A14BBF">
              <w:rPr>
                <w:rFonts w:cstheme="minorHAnsi"/>
                <w:b/>
                <w:color w:val="000000"/>
              </w:rPr>
              <w:t xml:space="preserve"> </w:t>
            </w:r>
            <w:r w:rsidRPr="00A14BBF">
              <w:rPr>
                <w:rFonts w:cstheme="minorHAnsi"/>
                <w:color w:val="000000"/>
              </w:rPr>
              <w:t>Také kolektivní systémy a autorizovaná obalová společnost navázaly spolupráci s o</w:t>
            </w:r>
            <w:r w:rsidRPr="00A14BBF">
              <w:rPr>
                <w:rFonts w:cstheme="minorHAnsi"/>
                <w:color w:val="000000"/>
              </w:rPr>
              <w:t xml:space="preserve">bcemi a školami. Webové stránky MŽP, krajů, kolektivních systémů, autorizované obalové společnosti, nevládních a dobrovolných organizací zajištují silnou informační podporu v oblasti prevence vzniku odpadů. </w:t>
            </w:r>
            <w:r w:rsidRPr="00A14BBF">
              <w:rPr>
                <w:rFonts w:ascii="Calibri" w:hAnsi="Calibri" w:cs="Calibri"/>
                <w:szCs w:val="24"/>
              </w:rPr>
              <w:t>Zvyšuje se osvěta a povědomí o potřebě předcházet</w:t>
            </w:r>
            <w:r w:rsidRPr="00A14BBF">
              <w:rPr>
                <w:rFonts w:ascii="Calibri" w:hAnsi="Calibri" w:cs="Calibri"/>
                <w:szCs w:val="24"/>
              </w:rPr>
              <w:t xml:space="preserve"> vzniku odpadů, snižovat jejich produkci a zvyšovat jejich využití.</w:t>
            </w:r>
          </w:p>
        </w:tc>
      </w:tr>
    </w:tbl>
    <w:p w:rsidR="00E25DAC" w:rsidRPr="00A14BBF" w:rsidRDefault="00E25DAC" w:rsidP="00E25DAC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842B80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E427E" w:rsidRPr="00A14BBF" w:rsidRDefault="008C12E6" w:rsidP="00293546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50.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Zajistit účinné zapojení státní správy na všech úrovních do problematiky předcházení vzniku odpadů s cílem postupného snižování množství odpadů při výkonu státní správy. </w:t>
            </w:r>
          </w:p>
        </w:tc>
      </w:tr>
      <w:tr w:rsidR="007E5173" w:rsidTr="00842B80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84DAE" w:rsidRPr="00A14BBF" w:rsidRDefault="008C12E6" w:rsidP="00284DAE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84DAE" w:rsidRPr="00A14BBF" w:rsidRDefault="008C12E6" w:rsidP="00284DAE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</w:t>
            </w:r>
            <w:r w:rsidR="001F1771" w:rsidRPr="00A14BBF">
              <w:rPr>
                <w:rFonts w:cstheme="minorHAnsi"/>
                <w:b/>
                <w:color w:val="000000"/>
              </w:rPr>
              <w:t xml:space="preserve"> částečně. </w:t>
            </w:r>
          </w:p>
          <w:p w:rsidR="00EE2B45" w:rsidRPr="00A14BBF" w:rsidRDefault="008C12E6" w:rsidP="000549C5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>V naplňování cíle by měl pomoci zákon č. 543/2020 Sb., novela zákona o zadávání veřejných zakázek, kdy zadavatel má dodržovat zásady sociálně odpovědného zadávání, environmentálně odpovědného zadávání a inov</w:t>
            </w:r>
            <w:r w:rsidRPr="00A14BBF">
              <w:rPr>
                <w:rFonts w:cstheme="minorHAnsi"/>
                <w:color w:val="000000"/>
              </w:rPr>
              <w:t>ací. Dále k zelenému zadávání nabádají dokumenty: Usnesení vlády č. 531 ze dne 24. července 2017 o pravidlech uplatňování odpovědného přístupu při zadávání veřejných zakázek a nákupech státní správy a samosprávy. Pravidla pro uplatňování odpovědného přístu</w:t>
            </w:r>
            <w:r w:rsidRPr="00A14BBF">
              <w:rPr>
                <w:rFonts w:cstheme="minorHAnsi"/>
                <w:color w:val="000000"/>
              </w:rPr>
              <w:t xml:space="preserve">pu při zadávání veřejných zakázek a nákupech státní správy a samosprávy, část III materiálu čj. 781/17, schválená vládou na základě návrhu Ministerstva práce a sociálních věcí a MŽP. V roce 2020 novela zákona č. 134/2016 Sb., o zadávání veřejných zakázek, </w:t>
            </w:r>
            <w:r w:rsidRPr="00A14BBF">
              <w:rPr>
                <w:rFonts w:cstheme="minorHAnsi"/>
                <w:color w:val="000000"/>
              </w:rPr>
              <w:t>zavedla povinnost pro zadavatele při vytváření zadávacích podmínek, hodnocení nabídek a výběru dodavatele dodržovat zásady sociálně odpovědného zadávání, environmentálně odpovědného zadávání a inovací. Tímto přístupem by mělo dojít k výrazné preferenci výr</w:t>
            </w:r>
            <w:r w:rsidRPr="00A14BBF">
              <w:rPr>
                <w:rFonts w:cstheme="minorHAnsi"/>
                <w:color w:val="000000"/>
              </w:rPr>
              <w:t>obků s obsahem recyklátů a posílení hierarchie odpadového hospodářství.</w:t>
            </w:r>
          </w:p>
          <w:p w:rsidR="00EE2B45" w:rsidRPr="00A14BBF" w:rsidRDefault="008C12E6" w:rsidP="00ED0B4F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Dále byly </w:t>
            </w:r>
            <w:r w:rsidR="001F1771" w:rsidRPr="00A14BBF">
              <w:rPr>
                <w:rFonts w:cstheme="minorHAnsi"/>
                <w:color w:val="000000"/>
              </w:rPr>
              <w:t>implementovány dříve p</w:t>
            </w:r>
            <w:r w:rsidR="00284DAE" w:rsidRPr="00A14BBF">
              <w:rPr>
                <w:rFonts w:cstheme="minorHAnsi"/>
                <w:color w:val="000000"/>
              </w:rPr>
              <w:t>řipraven</w:t>
            </w:r>
            <w:r w:rsidR="001F1771" w:rsidRPr="00A14BBF">
              <w:rPr>
                <w:rFonts w:cstheme="minorHAnsi"/>
                <w:color w:val="000000"/>
              </w:rPr>
              <w:t>é</w:t>
            </w:r>
            <w:r w:rsidR="00284DAE" w:rsidRPr="00A14BBF">
              <w:rPr>
                <w:rFonts w:cstheme="minorHAnsi"/>
                <w:color w:val="000000"/>
              </w:rPr>
              <w:t xml:space="preserve"> metodické </w:t>
            </w:r>
            <w:r w:rsidR="00CB4514" w:rsidRPr="00A14BBF">
              <w:rPr>
                <w:rFonts w:cstheme="minorHAnsi"/>
                <w:color w:val="000000"/>
              </w:rPr>
              <w:t>materiály</w:t>
            </w:r>
            <w:r w:rsidR="00284DAE" w:rsidRPr="00A14BBF">
              <w:rPr>
                <w:rFonts w:cstheme="minorHAnsi"/>
                <w:color w:val="000000"/>
              </w:rPr>
              <w:t xml:space="preserve">. </w:t>
            </w:r>
            <w:r w:rsidR="000549C5" w:rsidRPr="00A14BBF">
              <w:rPr>
                <w:rFonts w:cstheme="minorHAnsi"/>
                <w:color w:val="000000"/>
              </w:rPr>
              <w:t xml:space="preserve">Státní správa postupně </w:t>
            </w:r>
            <w:r w:rsidR="0068621B" w:rsidRPr="00A14BBF">
              <w:rPr>
                <w:rFonts w:cstheme="minorHAnsi"/>
                <w:color w:val="000000"/>
              </w:rPr>
              <w:t>nastavuje</w:t>
            </w:r>
            <w:r w:rsidR="000549C5" w:rsidRPr="00A14BBF">
              <w:rPr>
                <w:rFonts w:cstheme="minorHAnsi"/>
                <w:color w:val="000000"/>
              </w:rPr>
              <w:t xml:space="preserve"> </w:t>
            </w:r>
            <w:r w:rsidR="00ED0B4F" w:rsidRPr="00A14BBF">
              <w:rPr>
                <w:rFonts w:cstheme="minorHAnsi"/>
                <w:color w:val="000000"/>
              </w:rPr>
              <w:t xml:space="preserve">principy </w:t>
            </w:r>
            <w:r w:rsidR="00B056E3" w:rsidRPr="00A14BBF">
              <w:rPr>
                <w:rFonts w:cs="Arial"/>
                <w:szCs w:val="24"/>
              </w:rPr>
              <w:t>předcházení vzniku odpadů</w:t>
            </w:r>
            <w:r w:rsidR="00ED0B4F" w:rsidRPr="00A14BBF">
              <w:rPr>
                <w:rFonts w:cs="Arial"/>
                <w:szCs w:val="24"/>
              </w:rPr>
              <w:t xml:space="preserve"> a</w:t>
            </w:r>
            <w:r w:rsidR="006F1971" w:rsidRPr="00A14BBF">
              <w:rPr>
                <w:rFonts w:cs="Arial"/>
                <w:szCs w:val="24"/>
              </w:rPr>
              <w:t> </w:t>
            </w:r>
            <w:r w:rsidR="00ED0B4F" w:rsidRPr="00A14BBF">
              <w:rPr>
                <w:rFonts w:cs="Arial"/>
                <w:szCs w:val="24"/>
              </w:rPr>
              <w:t>oběhového hospodářství. Ovšem stále jsou v této oblasti rezervy a</w:t>
            </w:r>
            <w:r w:rsidR="006F1971" w:rsidRPr="00A14BBF">
              <w:rPr>
                <w:rFonts w:cs="Arial"/>
                <w:szCs w:val="24"/>
              </w:rPr>
              <w:t> </w:t>
            </w:r>
            <w:r w:rsidR="00ED0B4F" w:rsidRPr="00A14BBF">
              <w:rPr>
                <w:rFonts w:cs="Arial"/>
                <w:szCs w:val="24"/>
              </w:rPr>
              <w:t xml:space="preserve">příležitosti ke zlepšení. </w:t>
            </w:r>
            <w:r w:rsidRPr="00A14BBF">
              <w:rPr>
                <w:rFonts w:cstheme="minorHAnsi"/>
                <w:color w:val="000000"/>
              </w:rPr>
              <w:t>Postupně se do praxe zavádí</w:t>
            </w:r>
            <w:r w:rsidRPr="00A14BBF">
              <w:rPr>
                <w:rFonts w:cstheme="minorHAnsi"/>
                <w:b/>
                <w:color w:val="000000"/>
              </w:rPr>
              <w:t xml:space="preserve"> </w:t>
            </w:r>
            <w:r w:rsidRPr="00A14BBF">
              <w:t>zelené veřejné zakázky, které stimulují poptávku po produktech vyráběných z odpadů, recyklátů</w:t>
            </w:r>
            <w:r w:rsidR="00ED0B4F" w:rsidRPr="00A14BBF">
              <w:t xml:space="preserve">. </w:t>
            </w:r>
            <w:r w:rsidR="00ED0B4F" w:rsidRPr="00A14BBF">
              <w:rPr>
                <w:rFonts w:cs="Arial"/>
                <w:szCs w:val="24"/>
              </w:rPr>
              <w:t>Postupně dochází ke snižování množství odpadů při výkonu státní správy.</w:t>
            </w:r>
            <w:r w:rsidR="00ED0B4F" w:rsidRPr="00A14BBF">
              <w:rPr>
                <w:rFonts w:cs="Arial"/>
                <w:b/>
                <w:szCs w:val="24"/>
              </w:rPr>
              <w:t xml:space="preserve"> </w:t>
            </w:r>
            <w:r w:rsidR="00ED0B4F" w:rsidRPr="00A14BBF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004A06" w:rsidRPr="00A14BBF" w:rsidRDefault="00004A06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CB4514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04A06" w:rsidRPr="00A14BBF" w:rsidRDefault="008C12E6" w:rsidP="00CB4514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04A06" w:rsidRPr="00A14BBF" w:rsidRDefault="008C12E6" w:rsidP="00004A06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51.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4A06" w:rsidRPr="00A14BBF" w:rsidRDefault="008C12E6" w:rsidP="008C612F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04A06" w:rsidRPr="00A14BBF" w:rsidRDefault="008C12E6" w:rsidP="008C612F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Vytvořit podmínky a nastavit motivační prvky pro snižování surovinových a energetických zdrojů ve výrobních odvětvích a zvyšování využívání „druhotných surovin“ v souvislosti s dalšími strategickými dokumenty (zejména Surovinovou politikou České republiky </w:t>
            </w:r>
            <w:r w:rsidRPr="00A14BBF">
              <w:rPr>
                <w:rFonts w:cs="Arial"/>
                <w:b/>
                <w:szCs w:val="24"/>
              </w:rPr>
              <w:t>a Politikou druhotných surovin České republiky).</w:t>
            </w:r>
          </w:p>
        </w:tc>
      </w:tr>
      <w:tr w:rsidR="007E5173" w:rsidTr="00CB4514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04A06" w:rsidRPr="00A14BBF" w:rsidRDefault="008C12E6" w:rsidP="008C612F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1664E" w:rsidRPr="00A14BBF" w:rsidRDefault="008C12E6" w:rsidP="0011664E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plněn.</w:t>
            </w:r>
          </w:p>
          <w:p w:rsidR="00893411" w:rsidRPr="00A14BBF" w:rsidRDefault="008C12E6" w:rsidP="00E20475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lastRenderedPageBreak/>
              <w:t xml:space="preserve">V této oblasti byly implementovány a </w:t>
            </w:r>
            <w:r w:rsidR="00532088" w:rsidRPr="00A14BBF">
              <w:rPr>
                <w:rFonts w:cstheme="minorHAnsi"/>
                <w:color w:val="000000"/>
              </w:rPr>
              <w:t xml:space="preserve">postupně </w:t>
            </w:r>
            <w:r w:rsidRPr="00A14BBF">
              <w:rPr>
                <w:rFonts w:cstheme="minorHAnsi"/>
                <w:color w:val="000000"/>
              </w:rPr>
              <w:t>naplňovány strategické dokumenty na úrovni ČR (</w:t>
            </w:r>
            <w:r w:rsidRPr="00A14BBF">
              <w:rPr>
                <w:rFonts w:cstheme="minorHAnsi"/>
                <w:bCs/>
                <w:color w:val="000000"/>
              </w:rPr>
              <w:t xml:space="preserve">Plán odpadového hospodářství ČR, Operační program Životní prostředí </w:t>
            </w:r>
            <w:r w:rsidR="00C1329D" w:rsidRPr="00A14BBF">
              <w:rPr>
                <w:rFonts w:cstheme="minorHAnsi"/>
                <w:bCs/>
                <w:color w:val="000000"/>
              </w:rPr>
              <w:t>2014</w:t>
            </w:r>
            <w:r w:rsidR="00C1329D">
              <w:rPr>
                <w:rFonts w:cstheme="minorHAnsi"/>
                <w:bCs/>
                <w:color w:val="000000"/>
              </w:rPr>
              <w:t>–2020</w:t>
            </w:r>
            <w:r w:rsidRPr="00A14BBF">
              <w:rPr>
                <w:rFonts w:cstheme="minorHAnsi"/>
                <w:bCs/>
                <w:color w:val="000000"/>
              </w:rPr>
              <w:t>, Politika druhotných surovin (Ministerstvo průmyslu a obchodu</w:t>
            </w:r>
            <w:r w:rsidR="009B14B9" w:rsidRPr="00A14BBF">
              <w:rPr>
                <w:rFonts w:cstheme="minorHAnsi"/>
                <w:bCs/>
                <w:color w:val="000000"/>
              </w:rPr>
              <w:t>)</w:t>
            </w:r>
            <w:r w:rsidRPr="00A14BBF">
              <w:rPr>
                <w:rFonts w:cstheme="minorHAnsi"/>
                <w:bCs/>
                <w:color w:val="000000"/>
              </w:rPr>
              <w:t xml:space="preserve">, Strategie regionálního rozvoje ČR na období 2014-2020, Program rozvoje venkova, Národní akční plán společenské odpovědnosti organizací v ČR, </w:t>
            </w:r>
            <w:r w:rsidR="008C1CD2" w:rsidRPr="00A14BBF">
              <w:rPr>
                <w:rFonts w:cstheme="minorHAnsi"/>
                <w:bCs/>
                <w:color w:val="000000"/>
              </w:rPr>
              <w:t>Strategický rámec Česká republika 2030</w:t>
            </w:r>
            <w:r w:rsidRPr="00A14BBF">
              <w:rPr>
                <w:rFonts w:cstheme="minorHAnsi"/>
                <w:bCs/>
                <w:color w:val="000000"/>
              </w:rPr>
              <w:t xml:space="preserve">. </w:t>
            </w:r>
          </w:p>
        </w:tc>
      </w:tr>
    </w:tbl>
    <w:p w:rsidR="00004A06" w:rsidRPr="00A14BBF" w:rsidRDefault="00004A06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7E1905">
        <w:tc>
          <w:tcPr>
            <w:tcW w:w="1970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</w:tcPr>
          <w:p w:rsidR="00697A9D" w:rsidRPr="00A14BBF" w:rsidRDefault="00697A9D" w:rsidP="001C1A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97A9D" w:rsidRPr="00A14BBF" w:rsidRDefault="00697A9D" w:rsidP="00CA462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7E5173" w:rsidTr="007E1905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7E1905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52.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bCs/>
                <w:szCs w:val="24"/>
              </w:rPr>
              <w:t xml:space="preserve">Podpořit všemi dostupnými prostředky zavádění </w:t>
            </w:r>
            <w:proofErr w:type="spellStart"/>
            <w:r w:rsidRPr="00A14BBF">
              <w:rPr>
                <w:rFonts w:cs="Arial"/>
                <w:b/>
                <w:bCs/>
                <w:szCs w:val="24"/>
              </w:rPr>
              <w:t>nízkoodpadových</w:t>
            </w:r>
            <w:proofErr w:type="spellEnd"/>
            <w:r w:rsidRPr="00A14BBF">
              <w:rPr>
                <w:rFonts w:cs="Arial"/>
                <w:b/>
                <w:bCs/>
                <w:szCs w:val="24"/>
              </w:rPr>
              <w:t xml:space="preserve"> a inovativních technologií šetřící vstupní suroviny a materiály a podpořit výrobní a průmyslovou sféru ve snaze optimalizovat procesy řízení výroby z hlediska naplnění cílů Programu</w:t>
            </w:r>
            <w:r w:rsidRPr="00A14BBF">
              <w:rPr>
                <w:rFonts w:cs="Arial"/>
                <w:b/>
                <w:bCs/>
                <w:szCs w:val="24"/>
              </w:rPr>
              <w:t>.</w:t>
            </w:r>
          </w:p>
        </w:tc>
      </w:tr>
      <w:tr w:rsidR="007E5173" w:rsidTr="007E1905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97A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B31" w:rsidRPr="00A14BBF" w:rsidRDefault="008C12E6" w:rsidP="00686B31">
            <w:pPr>
              <w:spacing w:line="276" w:lineRule="auto"/>
              <w:rPr>
                <w:rFonts w:cstheme="minorHAnsi"/>
                <w:b/>
                <w:color w:val="000000"/>
                <w:szCs w:val="24"/>
              </w:rPr>
            </w:pPr>
            <w:r w:rsidRPr="00A14BBF">
              <w:rPr>
                <w:rFonts w:cstheme="minorHAnsi"/>
                <w:b/>
                <w:color w:val="000000"/>
                <w:szCs w:val="24"/>
              </w:rPr>
              <w:t>Cíl plněn.</w:t>
            </w:r>
          </w:p>
          <w:p w:rsidR="005B4EE6" w:rsidRPr="00A14BBF" w:rsidRDefault="008C12E6" w:rsidP="00057B40">
            <w:pPr>
              <w:spacing w:line="276" w:lineRule="auto"/>
              <w:rPr>
                <w:rFonts w:cs="Calibri,Bold"/>
                <w:bCs/>
                <w:szCs w:val="24"/>
              </w:rPr>
            </w:pPr>
            <w:r w:rsidRPr="00A14BBF">
              <w:rPr>
                <w:rFonts w:cstheme="minorHAnsi"/>
                <w:color w:val="000000"/>
                <w:szCs w:val="24"/>
              </w:rPr>
              <w:t>V této oblasti byly připraveny strategické dokumenty na úrovni ČR. Usnesením vlády Č</w:t>
            </w:r>
            <w:r w:rsidR="007E1905" w:rsidRPr="00A14BBF">
              <w:rPr>
                <w:rFonts w:cstheme="minorHAnsi"/>
                <w:color w:val="000000"/>
                <w:szCs w:val="24"/>
              </w:rPr>
              <w:t>R</w:t>
            </w:r>
            <w:r w:rsidRPr="00A14BBF">
              <w:rPr>
                <w:rFonts w:cstheme="minorHAnsi"/>
                <w:color w:val="000000"/>
                <w:szCs w:val="24"/>
              </w:rPr>
              <w:t xml:space="preserve"> č. 135 ze dne 17. února 2016 byla schválena Národní politika výzkumu, vývoje a inovací na léta </w:t>
            </w:r>
            <w:r w:rsidR="00C1329D" w:rsidRPr="00A14BBF">
              <w:rPr>
                <w:rFonts w:cstheme="minorHAnsi"/>
                <w:color w:val="000000"/>
                <w:szCs w:val="24"/>
              </w:rPr>
              <w:t>2016–2020</w:t>
            </w:r>
            <w:r w:rsidRPr="00A14BBF">
              <w:rPr>
                <w:rFonts w:cstheme="minorHAnsi"/>
                <w:color w:val="000000"/>
                <w:szCs w:val="24"/>
              </w:rPr>
              <w:t xml:space="preserve">. </w:t>
            </w:r>
            <w:r w:rsidR="00FE1A1C" w:rsidRPr="00A14BBF">
              <w:rPr>
                <w:rFonts w:cstheme="minorHAnsi"/>
                <w:bCs/>
                <w:color w:val="000000"/>
                <w:szCs w:val="24"/>
              </w:rPr>
              <w:t>Moderní inovativní technologie b</w:t>
            </w:r>
            <w:r w:rsidR="00532088" w:rsidRPr="00A14BBF">
              <w:rPr>
                <w:rFonts w:cstheme="minorHAnsi"/>
                <w:bCs/>
                <w:color w:val="000000"/>
                <w:szCs w:val="24"/>
              </w:rPr>
              <w:t>yly</w:t>
            </w:r>
            <w:r w:rsidR="00FE1A1C" w:rsidRPr="00A14BBF">
              <w:rPr>
                <w:rFonts w:cstheme="minorHAnsi"/>
                <w:bCs/>
                <w:color w:val="000000"/>
                <w:szCs w:val="24"/>
              </w:rPr>
              <w:t xml:space="preserve"> podporovány také z Operačního programu Životní prostředí 2014</w:t>
            </w:r>
            <w:r w:rsidR="00387670" w:rsidRPr="00A14BBF">
              <w:rPr>
                <w:rFonts w:cstheme="minorHAnsi"/>
                <w:bCs/>
                <w:color w:val="000000"/>
                <w:szCs w:val="24"/>
              </w:rPr>
              <w:t>-</w:t>
            </w:r>
            <w:r w:rsidR="00FE1A1C" w:rsidRPr="00A14BBF">
              <w:rPr>
                <w:rFonts w:cstheme="minorHAnsi"/>
                <w:bCs/>
                <w:color w:val="000000"/>
                <w:szCs w:val="24"/>
              </w:rPr>
              <w:t>2020 (MŽP) a Operačního programu Podnikání a</w:t>
            </w:r>
            <w:r w:rsidR="006F1971" w:rsidRPr="00A14BBF">
              <w:rPr>
                <w:rFonts w:cstheme="minorHAnsi"/>
                <w:bCs/>
                <w:color w:val="000000"/>
                <w:szCs w:val="24"/>
              </w:rPr>
              <w:t> </w:t>
            </w:r>
            <w:r w:rsidR="00FE1A1C" w:rsidRPr="00A14BBF">
              <w:rPr>
                <w:rFonts w:cstheme="minorHAnsi"/>
                <w:bCs/>
                <w:color w:val="000000"/>
                <w:szCs w:val="24"/>
              </w:rPr>
              <w:t xml:space="preserve">inovace pro konkurenceschopnost </w:t>
            </w:r>
            <w:r w:rsidR="00C1329D" w:rsidRPr="00A14BBF">
              <w:rPr>
                <w:rFonts w:cstheme="minorHAnsi"/>
                <w:bCs/>
                <w:color w:val="000000"/>
                <w:szCs w:val="24"/>
              </w:rPr>
              <w:t>2014</w:t>
            </w:r>
            <w:r w:rsidR="00C1329D">
              <w:rPr>
                <w:rFonts w:cstheme="minorHAnsi"/>
                <w:bCs/>
                <w:color w:val="000000"/>
                <w:szCs w:val="24"/>
              </w:rPr>
              <w:t>–2020</w:t>
            </w:r>
            <w:r w:rsidR="00FE1A1C" w:rsidRPr="00A14BBF">
              <w:rPr>
                <w:rFonts w:cstheme="minorHAnsi"/>
                <w:bCs/>
                <w:color w:val="000000"/>
                <w:szCs w:val="24"/>
              </w:rPr>
              <w:t xml:space="preserve"> (MPO).</w:t>
            </w:r>
            <w:r w:rsidR="00F20FE2" w:rsidRPr="00A14BBF">
              <w:rPr>
                <w:rFonts w:cstheme="minorHAnsi"/>
                <w:bCs/>
                <w:color w:val="000000"/>
                <w:szCs w:val="24"/>
              </w:rPr>
              <w:t xml:space="preserve"> </w:t>
            </w:r>
            <w:r w:rsidR="00F20FE2" w:rsidRPr="00A14BBF">
              <w:rPr>
                <w:rFonts w:cstheme="minorHAnsi"/>
                <w:color w:val="000000"/>
                <w:szCs w:val="24"/>
              </w:rPr>
              <w:t xml:space="preserve">Další podpora je možná v rámci </w:t>
            </w:r>
            <w:r w:rsidR="00F20FE2" w:rsidRPr="00A14BBF">
              <w:rPr>
                <w:rFonts w:cstheme="minorHAnsi"/>
                <w:bCs/>
                <w:color w:val="000000"/>
                <w:szCs w:val="24"/>
              </w:rPr>
              <w:t>Programů Technologické agentury České republiky a</w:t>
            </w:r>
            <w:r w:rsidR="007E1905" w:rsidRPr="00A14BBF">
              <w:rPr>
                <w:rFonts w:cstheme="minorHAnsi"/>
                <w:bCs/>
                <w:color w:val="000000"/>
                <w:szCs w:val="24"/>
              </w:rPr>
              <w:t> </w:t>
            </w:r>
            <w:r w:rsidR="00F20FE2" w:rsidRPr="00A14BBF">
              <w:rPr>
                <w:rFonts w:cstheme="minorHAnsi"/>
                <w:bCs/>
                <w:color w:val="000000"/>
                <w:szCs w:val="24"/>
              </w:rPr>
              <w:t>r</w:t>
            </w:r>
            <w:r w:rsidR="00F20FE2" w:rsidRPr="00A14BBF">
              <w:rPr>
                <w:rFonts w:cs="Calibri,Bold"/>
                <w:bCs/>
                <w:szCs w:val="24"/>
              </w:rPr>
              <w:t>esortních programů na podporu výzkumu a vývoje.</w:t>
            </w:r>
          </w:p>
          <w:p w:rsidR="00532088" w:rsidRPr="00A14BBF" w:rsidRDefault="008C12E6" w:rsidP="007F0AB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4"/>
              </w:rPr>
            </w:pPr>
            <w:r w:rsidRPr="00A14BBF">
              <w:rPr>
                <w:rFonts w:ascii="Calibri" w:hAnsi="Calibri" w:cs="Calibri"/>
                <w:szCs w:val="24"/>
              </w:rPr>
              <w:t xml:space="preserve">Zavedení moderních inovativních technologií bylo předmětem řešení řady výzkumných prací a projektů, rovněž se objevuje v řadě strategických dokumentů ČR. </w:t>
            </w:r>
            <w:r w:rsidRPr="00A14BBF">
              <w:t xml:space="preserve">Celkově bylo podpořeno a probíhalo v letech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</w:t>
            </w:r>
            <w:r w:rsidRPr="00A14BBF">
              <w:t>127 cca projektů zahrnujících v sobě i problematiku předcházení vzniku odpadů a zlepšení odpadového a oběhového hospodářství.</w:t>
            </w:r>
          </w:p>
        </w:tc>
      </w:tr>
    </w:tbl>
    <w:p w:rsidR="0025451C" w:rsidRPr="00A14BBF" w:rsidRDefault="0025451C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7E1905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7E1905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53.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2B46DE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>Na všech úrovních podpořit, propagovat a</w:t>
            </w:r>
            <w:r w:rsidR="002B46DE" w:rsidRPr="00A14BBF">
              <w:rPr>
                <w:rFonts w:cs="Arial"/>
                <w:b/>
                <w:szCs w:val="24"/>
              </w:rPr>
              <w:t> </w:t>
            </w:r>
            <w:r w:rsidRPr="00A14BBF">
              <w:rPr>
                <w:rFonts w:cs="Arial"/>
                <w:b/>
                <w:szCs w:val="24"/>
              </w:rPr>
              <w:t xml:space="preserve">dostatečně informovat o dostupných dobrovolných nástrojích (dobrovolné dohody, systémy environmentálního řízení, environmentálního značení) s cílem jejich postupného rozšiřování. </w:t>
            </w:r>
          </w:p>
        </w:tc>
      </w:tr>
      <w:tr w:rsidR="007E5173" w:rsidTr="007E1905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97A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B46DE" w:rsidRPr="00A14BBF" w:rsidRDefault="008C12E6" w:rsidP="002B46DE">
            <w:pPr>
              <w:spacing w:line="276" w:lineRule="auto"/>
              <w:rPr>
                <w:rFonts w:cstheme="minorHAnsi"/>
                <w:b/>
                <w:color w:val="000000"/>
                <w:szCs w:val="24"/>
              </w:rPr>
            </w:pPr>
            <w:r w:rsidRPr="00A14BBF">
              <w:rPr>
                <w:rFonts w:cstheme="minorHAnsi"/>
                <w:b/>
                <w:color w:val="000000"/>
                <w:szCs w:val="24"/>
              </w:rPr>
              <w:t>Cíl plněn.</w:t>
            </w:r>
          </w:p>
          <w:p w:rsidR="00681766" w:rsidRPr="00A14BBF" w:rsidRDefault="008C12E6" w:rsidP="002B46DE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Využívání dříve </w:t>
            </w:r>
            <w:r w:rsidR="002B46DE" w:rsidRPr="00A14BBF">
              <w:rPr>
                <w:rFonts w:cstheme="minorHAnsi"/>
                <w:color w:val="000000"/>
              </w:rPr>
              <w:t>zpracov</w:t>
            </w:r>
            <w:r w:rsidRPr="00A14BBF">
              <w:rPr>
                <w:rFonts w:cstheme="minorHAnsi"/>
                <w:color w:val="000000"/>
              </w:rPr>
              <w:t xml:space="preserve">ané </w:t>
            </w:r>
            <w:r w:rsidR="002B46DE" w:rsidRPr="00A14BBF">
              <w:rPr>
                <w:rFonts w:cstheme="minorHAnsi"/>
                <w:color w:val="000000"/>
              </w:rPr>
              <w:t>metodik</w:t>
            </w:r>
            <w:r w:rsidRPr="00A14BBF">
              <w:rPr>
                <w:rFonts w:cstheme="minorHAnsi"/>
                <w:color w:val="000000"/>
              </w:rPr>
              <w:t>y</w:t>
            </w:r>
            <w:r w:rsidR="002B46DE" w:rsidRPr="00A14BBF">
              <w:rPr>
                <w:rFonts w:cstheme="minorHAnsi"/>
                <w:color w:val="000000"/>
              </w:rPr>
              <w:t xml:space="preserve"> postupu uzavírání dobrovolných dohod. </w:t>
            </w:r>
            <w:r w:rsidRPr="00A14BBF">
              <w:rPr>
                <w:rFonts w:cstheme="minorHAnsi"/>
                <w:color w:val="000000"/>
              </w:rPr>
              <w:t>Kampaň m</w:t>
            </w:r>
            <w:r w:rsidRPr="00A14BBF">
              <w:t xml:space="preserve">inistra životního prostředí proti nadužívání </w:t>
            </w:r>
            <w:r w:rsidRPr="00A14BBF">
              <w:lastRenderedPageBreak/>
              <w:t xml:space="preserve">jednorázového plastového nádobí </w:t>
            </w:r>
            <w:r w:rsidRPr="00A14BBF">
              <w:rPr>
                <w:i/>
              </w:rPr>
              <w:t>„Dost bylo plastu“.</w:t>
            </w:r>
            <w:r w:rsidRPr="00A14BBF">
              <w:t xml:space="preserve"> MŽP uzavřelo dobrovolné dohody s restauracemi a občerstveními v nákupních centrech, kavárnami nebo fast foody ve</w:t>
            </w:r>
            <w:r w:rsidRPr="00A14BBF">
              <w:t xml:space="preserve">doucími k omezení jednorázového plastového nádobí a plastových odpadů. </w:t>
            </w:r>
          </w:p>
          <w:p w:rsidR="000B7642" w:rsidRPr="00A14BBF" w:rsidRDefault="008C12E6" w:rsidP="00C00C19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>V současnosti jsou v ČR uplatňovány do</w:t>
            </w:r>
            <w:r w:rsidRPr="00A14BBF">
              <w:rPr>
                <w:rFonts w:cstheme="minorHAnsi"/>
                <w:bCs/>
                <w:color w:val="000000"/>
              </w:rPr>
              <w:t xml:space="preserve">brovolné nástroje typu </w:t>
            </w:r>
            <w:proofErr w:type="spellStart"/>
            <w:r w:rsidRPr="00A14BBF">
              <w:rPr>
                <w:rFonts w:cstheme="minorHAnsi"/>
                <w:bCs/>
                <w:color w:val="000000"/>
              </w:rPr>
              <w:t>ekoznačení</w:t>
            </w:r>
            <w:proofErr w:type="spellEnd"/>
            <w:r w:rsidRPr="00A14BBF">
              <w:rPr>
                <w:rFonts w:cstheme="minorHAnsi"/>
                <w:bCs/>
                <w:color w:val="000000"/>
              </w:rPr>
              <w:t>, Ekologicky šetrný výrobek, Ekoznačka, EMAS, EMS</w:t>
            </w:r>
            <w:r w:rsidR="00DA7B1D" w:rsidRPr="00A14BBF">
              <w:rPr>
                <w:rFonts w:cstheme="minorHAnsi"/>
                <w:bCs/>
                <w:color w:val="000000"/>
              </w:rPr>
              <w:t xml:space="preserve"> a </w:t>
            </w:r>
            <w:r w:rsidR="00DA7B1D" w:rsidRPr="00A14BBF">
              <w:rPr>
                <w:rFonts w:cstheme="minorHAnsi"/>
                <w:color w:val="000000"/>
              </w:rPr>
              <w:t>MŽP se</w:t>
            </w:r>
            <w:r w:rsidR="00C00C19" w:rsidRPr="00A14BBF">
              <w:rPr>
                <w:rFonts w:cstheme="minorHAnsi"/>
                <w:color w:val="000000"/>
              </w:rPr>
              <w:t> </w:t>
            </w:r>
            <w:r w:rsidR="00DA7B1D" w:rsidRPr="00A14BBF">
              <w:rPr>
                <w:rFonts w:cstheme="minorHAnsi"/>
                <w:color w:val="000000"/>
              </w:rPr>
              <w:t xml:space="preserve">zaměřuje na zvyšování povědomí o nich. </w:t>
            </w:r>
            <w:r w:rsidRPr="00A14BBF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25451C" w:rsidRPr="00A14BBF" w:rsidRDefault="0025451C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7E1905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7E1905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54.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7E1905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>V souvislosti s jednotlivými cíli Programu, s cíli jiných programů a politik životního prostředí a</w:t>
            </w:r>
            <w:r w:rsidR="007E1905" w:rsidRPr="00A14BBF">
              <w:rPr>
                <w:rFonts w:cs="Arial"/>
                <w:b/>
                <w:szCs w:val="24"/>
              </w:rPr>
              <w:t> </w:t>
            </w:r>
            <w:r w:rsidRPr="00A14BBF">
              <w:rPr>
                <w:rFonts w:cs="Arial"/>
                <w:b/>
                <w:szCs w:val="24"/>
              </w:rPr>
              <w:t>s</w:t>
            </w:r>
            <w:r w:rsidR="007E1905" w:rsidRPr="00A14BBF">
              <w:rPr>
                <w:rFonts w:cs="Arial"/>
                <w:b/>
                <w:szCs w:val="24"/>
              </w:rPr>
              <w:t> </w:t>
            </w:r>
            <w:r w:rsidRPr="00A14BBF">
              <w:rPr>
                <w:rFonts w:cs="Arial"/>
                <w:b/>
                <w:szCs w:val="24"/>
              </w:rPr>
              <w:t>požadavky orgánů Evropské unie zajistit vhodné legislativní prostředí pro realizaci Programu.</w:t>
            </w:r>
          </w:p>
        </w:tc>
      </w:tr>
      <w:tr w:rsidR="007E5173" w:rsidTr="007E1905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97A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56051" w:rsidRPr="00A14BBF" w:rsidRDefault="008C12E6" w:rsidP="00556051">
            <w:pPr>
              <w:spacing w:line="276" w:lineRule="auto"/>
              <w:rPr>
                <w:rFonts w:cstheme="minorHAnsi"/>
                <w:b/>
                <w:color w:val="000000"/>
                <w:szCs w:val="24"/>
              </w:rPr>
            </w:pPr>
            <w:r w:rsidRPr="00A14BBF">
              <w:rPr>
                <w:rFonts w:cstheme="minorHAnsi"/>
                <w:b/>
                <w:color w:val="000000"/>
                <w:szCs w:val="24"/>
              </w:rPr>
              <w:t>Cíl plněn.</w:t>
            </w:r>
          </w:p>
          <w:p w:rsidR="007F0AB0" w:rsidRPr="00A14BBF" w:rsidRDefault="008C12E6" w:rsidP="009D2938">
            <w:pPr>
              <w:spacing w:after="60"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Daná oblast je </w:t>
            </w:r>
            <w:r w:rsidRPr="00A14BBF">
              <w:rPr>
                <w:rFonts w:cstheme="minorHAnsi"/>
                <w:color w:val="000000"/>
              </w:rPr>
              <w:t>dostatečně legislativně zakotvena.</w:t>
            </w:r>
            <w:r w:rsidR="009D2938" w:rsidRPr="00A14BBF">
              <w:rPr>
                <w:rFonts w:cstheme="minorHAnsi"/>
                <w:color w:val="000000"/>
              </w:rPr>
              <w:t xml:space="preserve"> V roce 2020 byly připraveny zcela nové právní předpisy, které transponovaly požadavky evropského balíčku nové legislativy. </w:t>
            </w:r>
            <w:r w:rsidR="009D2938" w:rsidRPr="00A14BBF">
              <w:t>Zákon č. 541/2020 Sb., o odpadech, zákon č. 542/2020 Sb., o výrobcích s ukončenou životností, zákon č.</w:t>
            </w:r>
            <w:r w:rsidR="00957E3C" w:rsidRPr="00A14BBF">
              <w:t> </w:t>
            </w:r>
            <w:r w:rsidR="009D2938" w:rsidRPr="00A14BBF">
              <w:t>543/2020 Sb., kterým se mění některé zákony v souvislosti s přijetím zákona o odpadech a zákona o výrobcích s ukončenou životností. Novela zákona č. 477/2001 Sb., o obalech. Novela zákona č. 565/1990 Sb., o</w:t>
            </w:r>
            <w:r w:rsidR="00957E3C" w:rsidRPr="00A14BBF">
              <w:t> </w:t>
            </w:r>
            <w:r w:rsidR="009D2938" w:rsidRPr="00A14BBF">
              <w:t xml:space="preserve">místních poplatcích. Dále návrh zákona o omezení dopadu vybraných plastových výrobků na životní prostředí a návrh zákona, kterým se mění některé zákony v souvislosti s přijetím zákona o omezení dopadu vybraných plastových výrobků na životní prostředí. V roce 2020 také probíhala příprava prováděcích předpisů k novému zákonu o odpadech, zákonu o výrobcích s ukončenou životností a novele zákona o obalech. </w:t>
            </w:r>
            <w:r w:rsidR="003850EB" w:rsidRPr="00A14BBF">
              <w:rPr>
                <w:bCs/>
              </w:rPr>
              <w:t>Důraz v nové legislativě je kladen na předcházení vzniku odpadů</w:t>
            </w:r>
            <w:r w:rsidR="009D2938" w:rsidRPr="00A14BBF">
              <w:rPr>
                <w:bCs/>
              </w:rPr>
              <w:t xml:space="preserve">, přípravu na opětovné použití a </w:t>
            </w:r>
            <w:r w:rsidR="003850EB" w:rsidRPr="00A14BBF">
              <w:rPr>
                <w:bCs/>
              </w:rPr>
              <w:t xml:space="preserve">jejich recyklaci. </w:t>
            </w:r>
          </w:p>
        </w:tc>
      </w:tr>
    </w:tbl>
    <w:p w:rsidR="008621DF" w:rsidRPr="00A14BBF" w:rsidRDefault="008621DF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DF60D4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DF60D4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55.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Věnovat maximální pozornost odpadům z potravin a vytvořit podmínky pro postupné snižování těchto odpadů na všech úrovních potravinového cyklu (fáze </w:t>
            </w:r>
            <w:r w:rsidRPr="00A14BBF">
              <w:rPr>
                <w:rFonts w:cs="Arial"/>
                <w:b/>
                <w:bCs/>
                <w:color w:val="000000"/>
                <w:szCs w:val="24"/>
              </w:rPr>
              <w:t>výroby potravin včetně jejich uvádění na trh a konzumace</w:t>
            </w:r>
            <w:r w:rsidRPr="00A14BBF">
              <w:rPr>
                <w:rFonts w:cs="Arial"/>
                <w:b/>
                <w:szCs w:val="24"/>
              </w:rPr>
              <w:t>).</w:t>
            </w:r>
          </w:p>
        </w:tc>
      </w:tr>
      <w:tr w:rsidR="007E5173" w:rsidTr="00DF60D4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97A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F3072" w:rsidRPr="00A14BBF" w:rsidRDefault="008C12E6" w:rsidP="00EA758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b/>
                <w:szCs w:val="24"/>
              </w:rPr>
            </w:pPr>
            <w:r w:rsidRPr="00A14BBF">
              <w:rPr>
                <w:rFonts w:ascii="Calibri" w:hAnsi="Calibri" w:cs="Calibri"/>
                <w:b/>
                <w:szCs w:val="24"/>
              </w:rPr>
              <w:t>Cíl plněn.</w:t>
            </w:r>
          </w:p>
          <w:p w:rsidR="00842246" w:rsidRPr="00A14BBF" w:rsidRDefault="008C12E6" w:rsidP="00C00C19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  <w:r w:rsidRPr="00A14BBF">
              <w:rPr>
                <w:bCs/>
                <w:szCs w:val="24"/>
              </w:rPr>
              <w:t xml:space="preserve">Fungující strukturou pro snižování vzniku odpadů z potravin a zlepšující celkové využívání potravin, které by se staly odpadem, jsou potravinové banky. Ty aktivně řešily </w:t>
            </w:r>
            <w:r w:rsidRPr="00A14BBF">
              <w:rPr>
                <w:rFonts w:ascii="Calibri" w:hAnsi="Calibri" w:cs="Calibri"/>
                <w:szCs w:val="24"/>
              </w:rPr>
              <w:t xml:space="preserve">problematiku omezování vzniku potravinového odpadu. </w:t>
            </w:r>
            <w:r w:rsidRPr="00A14BBF">
              <w:t>V posledních letech se rozrostly a</w:t>
            </w:r>
            <w:r w:rsidRPr="00A14BBF">
              <w:t xml:space="preserve"> zintenzivnily svou činnost.  </w:t>
            </w:r>
            <w:r w:rsidRPr="00A14BBF">
              <w:lastRenderedPageBreak/>
              <w:t xml:space="preserve">V roce 2020 měla Česká federace potravinových bank 15 členů. Banky zachraňují potraviny, předchází potravinovému odpadu a rozdělují jídlo potřebným. </w:t>
            </w:r>
          </w:p>
          <w:p w:rsidR="00CB184C" w:rsidRPr="00A14BBF" w:rsidRDefault="008C12E6" w:rsidP="0084224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bCs/>
                <w:szCs w:val="24"/>
              </w:rPr>
              <w:t>V praxi b</w:t>
            </w:r>
            <w:r w:rsidR="0095313C" w:rsidRPr="00A14BBF">
              <w:rPr>
                <w:bCs/>
                <w:szCs w:val="24"/>
              </w:rPr>
              <w:t xml:space="preserve">yly využívány dříve </w:t>
            </w:r>
            <w:r w:rsidR="00CF3072" w:rsidRPr="00A14BBF">
              <w:rPr>
                <w:bCs/>
                <w:szCs w:val="24"/>
              </w:rPr>
              <w:t>MŽP připrav</w:t>
            </w:r>
            <w:r w:rsidR="0095313C" w:rsidRPr="00A14BBF">
              <w:rPr>
                <w:bCs/>
                <w:szCs w:val="24"/>
              </w:rPr>
              <w:t xml:space="preserve">ené </w:t>
            </w:r>
            <w:r w:rsidR="00CF3072" w:rsidRPr="00A14BBF">
              <w:rPr>
                <w:bCs/>
                <w:szCs w:val="24"/>
              </w:rPr>
              <w:t>metodické příručky k</w:t>
            </w:r>
            <w:r w:rsidR="00842246" w:rsidRPr="00A14BBF">
              <w:rPr>
                <w:bCs/>
                <w:szCs w:val="24"/>
              </w:rPr>
              <w:t> </w:t>
            </w:r>
            <w:r w:rsidR="00CF3072" w:rsidRPr="00A14BBF">
              <w:rPr>
                <w:bCs/>
                <w:szCs w:val="24"/>
              </w:rPr>
              <w:t>předcházení vzniku odpadů v sektoru pohostinství a</w:t>
            </w:r>
            <w:r w:rsidR="00DF60D4" w:rsidRPr="00A14BBF">
              <w:rPr>
                <w:bCs/>
                <w:szCs w:val="24"/>
              </w:rPr>
              <w:t> </w:t>
            </w:r>
            <w:r w:rsidR="00CF3072" w:rsidRPr="00A14BBF">
              <w:rPr>
                <w:bCs/>
                <w:szCs w:val="24"/>
              </w:rPr>
              <w:t>stravování a</w:t>
            </w:r>
            <w:r w:rsidRPr="00A14BBF">
              <w:rPr>
                <w:bCs/>
                <w:szCs w:val="24"/>
              </w:rPr>
              <w:t> </w:t>
            </w:r>
            <w:r w:rsidR="00CF3072" w:rsidRPr="00A14BBF">
              <w:rPr>
                <w:bCs/>
                <w:szCs w:val="24"/>
              </w:rPr>
              <w:t>příručk</w:t>
            </w:r>
            <w:r w:rsidRPr="00A14BBF">
              <w:rPr>
                <w:bCs/>
                <w:szCs w:val="24"/>
              </w:rPr>
              <w:t>a</w:t>
            </w:r>
            <w:r w:rsidR="00CF3072" w:rsidRPr="00A14BBF">
              <w:rPr>
                <w:bCs/>
                <w:szCs w:val="24"/>
              </w:rPr>
              <w:t xml:space="preserve"> pro občany pro omezení plýtvání s potravinami. </w:t>
            </w:r>
            <w:r w:rsidRPr="00A14BBF">
              <w:rPr>
                <w:bCs/>
                <w:szCs w:val="24"/>
              </w:rPr>
              <w:t>Dále bylo</w:t>
            </w:r>
            <w:r w:rsidR="0095313C" w:rsidRPr="00A14BBF">
              <w:rPr>
                <w:bCs/>
                <w:szCs w:val="24"/>
              </w:rPr>
              <w:t xml:space="preserve"> podpořen</w:t>
            </w:r>
            <w:r w:rsidRPr="00A14BBF">
              <w:rPr>
                <w:bCs/>
                <w:szCs w:val="24"/>
              </w:rPr>
              <w:t xml:space="preserve">o několik </w:t>
            </w:r>
            <w:r w:rsidR="0095313C" w:rsidRPr="00A14BBF">
              <w:rPr>
                <w:bCs/>
                <w:szCs w:val="24"/>
              </w:rPr>
              <w:t>projekt</w:t>
            </w:r>
            <w:r w:rsidRPr="00A14BBF">
              <w:rPr>
                <w:bCs/>
                <w:szCs w:val="24"/>
              </w:rPr>
              <w:t xml:space="preserve">ů </w:t>
            </w:r>
            <w:r w:rsidR="0095313C" w:rsidRPr="00A14BBF">
              <w:rPr>
                <w:bCs/>
                <w:szCs w:val="24"/>
              </w:rPr>
              <w:t xml:space="preserve">k mapování </w:t>
            </w:r>
            <w:r w:rsidR="00CF3072" w:rsidRPr="00A14BBF">
              <w:rPr>
                <w:bCs/>
                <w:szCs w:val="24"/>
              </w:rPr>
              <w:t xml:space="preserve">vzniku </w:t>
            </w:r>
            <w:r w:rsidR="0095313C" w:rsidRPr="00A14BBF">
              <w:rPr>
                <w:bCs/>
                <w:szCs w:val="24"/>
              </w:rPr>
              <w:t xml:space="preserve">potravinových </w:t>
            </w:r>
            <w:r w:rsidR="00CF3072" w:rsidRPr="00A14BBF">
              <w:rPr>
                <w:bCs/>
                <w:szCs w:val="24"/>
              </w:rPr>
              <w:t>odpadů</w:t>
            </w:r>
            <w:r w:rsidRPr="00A14BBF">
              <w:rPr>
                <w:bCs/>
                <w:szCs w:val="24"/>
              </w:rPr>
              <w:t xml:space="preserve"> a</w:t>
            </w:r>
            <w:r w:rsidR="00842246" w:rsidRPr="00A14BBF">
              <w:rPr>
                <w:bCs/>
                <w:szCs w:val="24"/>
              </w:rPr>
              <w:t> </w:t>
            </w:r>
            <w:r w:rsidRPr="00A14BBF">
              <w:rPr>
                <w:bCs/>
                <w:szCs w:val="24"/>
              </w:rPr>
              <w:t>k předcházení jejich vzniku</w:t>
            </w:r>
            <w:r w:rsidR="0095313C" w:rsidRPr="00A14BBF">
              <w:rPr>
                <w:bCs/>
                <w:szCs w:val="24"/>
              </w:rPr>
              <w:t>.</w:t>
            </w:r>
            <w:r w:rsidR="00CF3072" w:rsidRPr="00A14BBF">
              <w:rPr>
                <w:bCs/>
              </w:rPr>
              <w:t xml:space="preserve"> </w:t>
            </w:r>
          </w:p>
        </w:tc>
      </w:tr>
    </w:tbl>
    <w:p w:rsidR="002E043E" w:rsidRPr="00A14BBF" w:rsidRDefault="002E043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231CC9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56.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Vytvořit podmínky ke </w:t>
            </w:r>
            <w:r w:rsidRPr="00A14BBF">
              <w:rPr>
                <w:rFonts w:cs="Arial"/>
                <w:b/>
                <w:szCs w:val="24"/>
              </w:rPr>
              <w:t>stabilizaci produkce jednotlivých složek komunálního odpadu a následnému snižování na všech úrovních veřejné správy a na úrovni občanů.</w:t>
            </w:r>
          </w:p>
        </w:tc>
      </w:tr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97A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A7582" w:rsidRPr="00A14BBF" w:rsidRDefault="008C12E6" w:rsidP="00B361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b/>
                <w:szCs w:val="24"/>
              </w:rPr>
            </w:pPr>
            <w:r w:rsidRPr="00A14BBF">
              <w:rPr>
                <w:rFonts w:ascii="Calibri" w:hAnsi="Calibri" w:cs="Calibri"/>
                <w:b/>
                <w:szCs w:val="24"/>
              </w:rPr>
              <w:t>Cíl plněn.</w:t>
            </w:r>
          </w:p>
          <w:p w:rsidR="00E01332" w:rsidRPr="00A14BBF" w:rsidRDefault="008C12E6" w:rsidP="00E01332">
            <w:pPr>
              <w:spacing w:line="276" w:lineRule="auto"/>
              <w:rPr>
                <w:rFonts w:cstheme="minorHAnsi"/>
                <w:color w:val="000000"/>
                <w:szCs w:val="24"/>
              </w:rPr>
            </w:pPr>
            <w:r w:rsidRPr="00A14BBF">
              <w:rPr>
                <w:bCs/>
                <w:szCs w:val="24"/>
              </w:rPr>
              <w:t xml:space="preserve">V této oblasti byly využívány dříve </w:t>
            </w:r>
            <w:r w:rsidR="00EA7582" w:rsidRPr="00A14BBF">
              <w:rPr>
                <w:bCs/>
                <w:szCs w:val="24"/>
              </w:rPr>
              <w:t xml:space="preserve">MŽP </w:t>
            </w:r>
            <w:r w:rsidRPr="00A14BBF">
              <w:rPr>
                <w:bCs/>
                <w:szCs w:val="24"/>
              </w:rPr>
              <w:t xml:space="preserve">připravené </w:t>
            </w:r>
            <w:r w:rsidR="00EA7582" w:rsidRPr="00A14BBF">
              <w:rPr>
                <w:bCs/>
                <w:szCs w:val="24"/>
              </w:rPr>
              <w:t>příručky</w:t>
            </w:r>
            <w:r w:rsidRPr="00A14BBF">
              <w:rPr>
                <w:bCs/>
                <w:szCs w:val="24"/>
              </w:rPr>
              <w:t xml:space="preserve"> pro občany</w:t>
            </w:r>
            <w:r w:rsidR="00EA7582" w:rsidRPr="00A14BBF">
              <w:rPr>
                <w:bCs/>
                <w:szCs w:val="24"/>
              </w:rPr>
              <w:t xml:space="preserve">.  </w:t>
            </w:r>
            <w:r w:rsidR="00231CC9" w:rsidRPr="00A14BBF">
              <w:rPr>
                <w:bCs/>
                <w:szCs w:val="24"/>
              </w:rPr>
              <w:t xml:space="preserve">V </w:t>
            </w:r>
            <w:r w:rsidR="00EA7582" w:rsidRPr="00A14BBF">
              <w:rPr>
                <w:bCs/>
                <w:szCs w:val="24"/>
              </w:rPr>
              <w:t xml:space="preserve">rámci OPŽP </w:t>
            </w:r>
            <w:r w:rsidRPr="00A14BBF">
              <w:rPr>
                <w:bCs/>
                <w:szCs w:val="24"/>
              </w:rPr>
              <w:t>by</w:t>
            </w:r>
            <w:r w:rsidR="00EA7582" w:rsidRPr="00A14BBF">
              <w:rPr>
                <w:bCs/>
                <w:szCs w:val="24"/>
              </w:rPr>
              <w:t xml:space="preserve">lo podporováno domácí kompostování (domácí kompostéry). Také samotné </w:t>
            </w:r>
            <w:r w:rsidR="004B7089" w:rsidRPr="00A14BBF">
              <w:rPr>
                <w:bCs/>
                <w:szCs w:val="24"/>
              </w:rPr>
              <w:t xml:space="preserve">kraje a </w:t>
            </w:r>
            <w:r w:rsidR="00EA7582" w:rsidRPr="00A14BBF">
              <w:rPr>
                <w:bCs/>
                <w:szCs w:val="24"/>
              </w:rPr>
              <w:t>obce ČR aktivně přistoupily k předcházení vzniku odpadů a</w:t>
            </w:r>
            <w:r w:rsidR="00231CC9" w:rsidRPr="00A14BBF">
              <w:rPr>
                <w:bCs/>
                <w:szCs w:val="24"/>
              </w:rPr>
              <w:t> </w:t>
            </w:r>
            <w:r w:rsidR="00EA7582" w:rsidRPr="00A14BBF">
              <w:rPr>
                <w:bCs/>
                <w:szCs w:val="24"/>
              </w:rPr>
              <w:t>opětovnému používání výrobků</w:t>
            </w:r>
            <w:r w:rsidR="00E62C66" w:rsidRPr="00A14BBF">
              <w:rPr>
                <w:bCs/>
                <w:szCs w:val="24"/>
              </w:rPr>
              <w:t xml:space="preserve"> s ukončenou životností</w:t>
            </w:r>
            <w:r w:rsidR="00EA7582" w:rsidRPr="00A14BBF">
              <w:rPr>
                <w:bCs/>
                <w:szCs w:val="24"/>
              </w:rPr>
              <w:t>.</w:t>
            </w:r>
            <w:r w:rsidR="003C67C7" w:rsidRPr="00A14BBF">
              <w:rPr>
                <w:bCs/>
                <w:szCs w:val="24"/>
              </w:rPr>
              <w:t xml:space="preserve"> </w:t>
            </w:r>
            <w:r w:rsidRPr="00A14BBF">
              <w:rPr>
                <w:bCs/>
                <w:szCs w:val="24"/>
              </w:rPr>
              <w:t>V obcích ve sběrných dvorech vznikají re-use koutky, kd</w:t>
            </w:r>
            <w:r w:rsidRPr="00A14BBF">
              <w:rPr>
                <w:bCs/>
                <w:szCs w:val="24"/>
              </w:rPr>
              <w:t xml:space="preserve">e jsou nabízeny upotřebené funkční věci. </w:t>
            </w:r>
            <w:r w:rsidR="003C67C7" w:rsidRPr="00A14BBF">
              <w:rPr>
                <w:bCs/>
                <w:szCs w:val="24"/>
              </w:rPr>
              <w:t>Zapojil</w:t>
            </w:r>
            <w:r w:rsidRPr="00A14BBF">
              <w:rPr>
                <w:bCs/>
                <w:szCs w:val="24"/>
              </w:rPr>
              <w:t>y</w:t>
            </w:r>
            <w:r w:rsidR="00E62C66" w:rsidRPr="00A14BBF">
              <w:rPr>
                <w:bCs/>
                <w:szCs w:val="24"/>
              </w:rPr>
              <w:t xml:space="preserve"> se </w:t>
            </w:r>
            <w:r w:rsidRPr="00A14BBF">
              <w:rPr>
                <w:bCs/>
                <w:szCs w:val="24"/>
              </w:rPr>
              <w:t xml:space="preserve">i neziskové organizace, charita a spolky. Občanská a zájmová sdružení pořádají různé bazary a podobné akce. </w:t>
            </w:r>
            <w:r w:rsidR="0082683F" w:rsidRPr="00A14BBF">
              <w:rPr>
                <w:bCs/>
                <w:szCs w:val="24"/>
              </w:rPr>
              <w:t xml:space="preserve">Veřejná správa stále zlepšuje své zelené nakupování. </w:t>
            </w:r>
            <w:r w:rsidRPr="00A14BBF">
              <w:rPr>
                <w:bCs/>
                <w:szCs w:val="24"/>
              </w:rPr>
              <w:t xml:space="preserve"> </w:t>
            </w:r>
          </w:p>
        </w:tc>
      </w:tr>
    </w:tbl>
    <w:p w:rsidR="002E043E" w:rsidRPr="00A14BBF" w:rsidRDefault="002E043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E427E" w:rsidRPr="00A14BBF" w:rsidRDefault="008C12E6" w:rsidP="00231CC9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57.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V součinnosti s dalšími </w:t>
            </w:r>
            <w:r w:rsidRPr="00A14BBF">
              <w:rPr>
                <w:rFonts w:cs="Arial"/>
                <w:b/>
                <w:szCs w:val="24"/>
              </w:rPr>
              <w:t>strategickými dokumenty vytvořit podmínky ke stabilizaci produkce nebezpečných odpadů, stavebních a demoličních odpadů, textilních odpadů a odpadů z výrobkových směrnic s výhledem reálného snižování jejich produkce v následujících letech.</w:t>
            </w:r>
          </w:p>
        </w:tc>
      </w:tr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697A9D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 xml:space="preserve">Hodnocení stavu </w:t>
            </w:r>
            <w:r w:rsidRPr="00A14BBF">
              <w:rPr>
                <w:b/>
              </w:rPr>
              <w:t>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C7144" w:rsidRPr="00A14BBF" w:rsidRDefault="008C12E6" w:rsidP="00CA462A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 částečně</w:t>
            </w:r>
            <w:r w:rsidR="00020C7A" w:rsidRPr="00A14BBF">
              <w:rPr>
                <w:rFonts w:cstheme="minorHAnsi"/>
                <w:b/>
                <w:color w:val="000000"/>
              </w:rPr>
              <w:t>.</w:t>
            </w:r>
          </w:p>
          <w:p w:rsidR="008A23DE" w:rsidRPr="00A14BBF" w:rsidRDefault="008C12E6" w:rsidP="00842B80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</w:rPr>
              <w:t xml:space="preserve">I přes přijatá legislativní opatření, osvětovou činnost a </w:t>
            </w:r>
            <w:r w:rsidRPr="00A14BBF">
              <w:rPr>
                <w:rFonts w:cstheme="minorHAnsi"/>
              </w:rPr>
              <w:t xml:space="preserve">podporu z OPŽP </w:t>
            </w:r>
            <w:r w:rsidRPr="00A14BBF">
              <w:rPr>
                <w:rFonts w:cstheme="minorHAnsi"/>
                <w:color w:val="000000"/>
              </w:rPr>
              <w:t>se nedaří zcela vytvářet podmínky pro stabilizaci</w:t>
            </w:r>
            <w:r w:rsidR="00F5239E" w:rsidRPr="00A14BBF">
              <w:rPr>
                <w:rFonts w:cstheme="minorHAnsi"/>
                <w:color w:val="000000"/>
              </w:rPr>
              <w:t xml:space="preserve"> nebo snižování</w:t>
            </w:r>
            <w:r w:rsidRPr="00A14BBF">
              <w:rPr>
                <w:rFonts w:cstheme="minorHAnsi"/>
                <w:color w:val="000000"/>
              </w:rPr>
              <w:t xml:space="preserve"> produkce odpadů.</w:t>
            </w:r>
            <w:r w:rsidR="00C93A97" w:rsidRPr="00A14BBF">
              <w:rPr>
                <w:rFonts w:cstheme="minorHAnsi"/>
                <w:color w:val="000000"/>
              </w:rPr>
              <w:t xml:space="preserve"> </w:t>
            </w:r>
          </w:p>
          <w:p w:rsidR="00D35BF1" w:rsidRPr="00A14BBF" w:rsidRDefault="008C12E6" w:rsidP="00D35BF1">
            <w:pPr>
              <w:spacing w:line="276" w:lineRule="auto"/>
              <w:rPr>
                <w:szCs w:val="24"/>
              </w:rPr>
            </w:pPr>
            <w:r w:rsidRPr="00A14BBF">
              <w:rPr>
                <w:szCs w:val="24"/>
              </w:rPr>
              <w:t>Produkce všech odpadů, ostatních odpadů</w:t>
            </w:r>
            <w:r w:rsidR="00550A58" w:rsidRPr="00A14BBF">
              <w:rPr>
                <w:szCs w:val="24"/>
              </w:rPr>
              <w:t xml:space="preserve"> i</w:t>
            </w:r>
            <w:r w:rsidRPr="00A14BBF">
              <w:rPr>
                <w:szCs w:val="24"/>
              </w:rPr>
              <w:t xml:space="preserve"> nebezpečných </w:t>
            </w:r>
            <w:r w:rsidR="00C93A97" w:rsidRPr="00A14BBF">
              <w:rPr>
                <w:szCs w:val="24"/>
              </w:rPr>
              <w:t xml:space="preserve">meziročně </w:t>
            </w:r>
            <w:r w:rsidR="00C1329D" w:rsidRPr="00A14BBF">
              <w:rPr>
                <w:szCs w:val="24"/>
              </w:rPr>
              <w:t>2019</w:t>
            </w:r>
            <w:r w:rsidR="00C1329D">
              <w:rPr>
                <w:szCs w:val="24"/>
              </w:rPr>
              <w:t>–2020</w:t>
            </w:r>
            <w:r w:rsidRPr="00A14BBF">
              <w:rPr>
                <w:szCs w:val="24"/>
              </w:rPr>
              <w:t xml:space="preserve"> vzrostla. Přestože produkce odpadů roste</w:t>
            </w:r>
            <w:r w:rsidR="00550A58" w:rsidRPr="00A14BBF">
              <w:rPr>
                <w:szCs w:val="24"/>
              </w:rPr>
              <w:t xml:space="preserve">, </w:t>
            </w:r>
            <w:r w:rsidRPr="00A14BBF">
              <w:rPr>
                <w:szCs w:val="24"/>
              </w:rPr>
              <w:t xml:space="preserve">je pravděpodobné, že kdyby nedocházelo k žádným akcím a osvětové činnosti v oblasti prevence vzniku odpadů, pak by produkce rostla daleko strměji a rychleji. </w:t>
            </w:r>
          </w:p>
          <w:p w:rsidR="00D35BF1" w:rsidRPr="00A14BBF" w:rsidRDefault="008C12E6" w:rsidP="00D35BF1">
            <w:pPr>
              <w:spacing w:line="276" w:lineRule="auto"/>
            </w:pPr>
            <w:r w:rsidRPr="00A14BBF">
              <w:lastRenderedPageBreak/>
              <w:t xml:space="preserve">Celková produkce odpadů v období </w:t>
            </w:r>
            <w:r w:rsidR="00C1329D" w:rsidRPr="00A14BBF">
              <w:t>2019</w:t>
            </w:r>
            <w:r w:rsidR="00C1329D">
              <w:t>–2020</w:t>
            </w:r>
            <w:r w:rsidRPr="00A14BBF">
              <w:t xml:space="preserve"> vz</w:t>
            </w:r>
            <w:r w:rsidRPr="00A14BBF">
              <w:t>rostla o 3,15 % na 38 503,7 tis. t v roce 2020. Produkce ostatních odpadů meziročně vzrostla o 3,1 % na 36 721,8 tis. t v roce 2020. Produkce nebezpečných odpadů meziročně nepatrně vzrostla o 1,3 % na 1 781,8 tis. t v roce 2020.</w:t>
            </w:r>
          </w:p>
          <w:p w:rsidR="00D35BF1" w:rsidRPr="00A14BBF" w:rsidRDefault="008C12E6" w:rsidP="003F6FE5">
            <w:r w:rsidRPr="00A14BBF">
              <w:rPr>
                <w:szCs w:val="24"/>
              </w:rPr>
              <w:t>Produkce komunálních odpadů</w:t>
            </w:r>
            <w:r w:rsidRPr="00A14BBF">
              <w:rPr>
                <w:szCs w:val="24"/>
              </w:rPr>
              <w:t xml:space="preserve"> meziročně mírně klesla o 2,5 % na hodnotu 5 729,9 tis. t, 535,5 kg.obyv.</w:t>
            </w:r>
            <w:r w:rsidRPr="00A14BBF">
              <w:rPr>
                <w:szCs w:val="24"/>
                <w:vertAlign w:val="superscript"/>
              </w:rPr>
              <w:t xml:space="preserve">-1 </w:t>
            </w:r>
            <w:r w:rsidRPr="00A14BBF">
              <w:rPr>
                <w:szCs w:val="24"/>
              </w:rPr>
              <w:t xml:space="preserve">v roce 2020. Střednědobě se ovšem produkce komunálních odpadů zvyšuje. Tento pokles může indikovat otočení dosavadního trendu nárůstu měrné produkce komunálních odpadů. </w:t>
            </w:r>
            <w:r w:rsidR="003F6FE5">
              <w:rPr>
                <w:szCs w:val="24"/>
              </w:rPr>
              <w:t>N</w:t>
            </w:r>
            <w:r w:rsidR="003F6FE5" w:rsidRPr="003F6FE5">
              <w:rPr>
                <w:szCs w:val="24"/>
              </w:rPr>
              <w:t>avíc rok 2020 byl již ovlivněn pandemií nemoci Covid-19.</w:t>
            </w:r>
            <w:r w:rsidR="003F6FE5">
              <w:rPr>
                <w:szCs w:val="24"/>
              </w:rPr>
              <w:t xml:space="preserve"> </w:t>
            </w:r>
            <w:r w:rsidRPr="00A14BBF">
              <w:rPr>
                <w:szCs w:val="24"/>
              </w:rPr>
              <w:t>Situaci je třeba dále sledovat. Pozitivní je opětovné meziroční snížení podílu produkce komunálních odpadů na celkovém množství vyprodukovaných odpadů o 0,8 % na 14,9 % v roce 2020.</w:t>
            </w:r>
          </w:p>
          <w:p w:rsidR="00020C7A" w:rsidRPr="00A14BBF" w:rsidRDefault="008C12E6" w:rsidP="00842B80">
            <w:pPr>
              <w:spacing w:line="276" w:lineRule="auto"/>
            </w:pPr>
            <w:r w:rsidRPr="00A14BBF">
              <w:t>Rovněž produkce obalových o</w:t>
            </w:r>
            <w:r w:rsidRPr="00A14BBF">
              <w:t xml:space="preserve">dpadů </w:t>
            </w:r>
            <w:r w:rsidR="00047DFE" w:rsidRPr="00A14BBF">
              <w:t xml:space="preserve">mírně </w:t>
            </w:r>
            <w:r w:rsidRPr="00A14BBF">
              <w:t>vzrostla a produkce odpadů z</w:t>
            </w:r>
            <w:r w:rsidR="00550A58" w:rsidRPr="00A14BBF">
              <w:t> </w:t>
            </w:r>
            <w:r w:rsidRPr="00A14BBF">
              <w:t xml:space="preserve">vybraných výrobků se meziročně také zvýšila. </w:t>
            </w:r>
            <w:r w:rsidR="0091586D" w:rsidRPr="00A14BBF">
              <w:t xml:space="preserve">Počet zpracovaných vybraných autovraků meziročně poklesl. </w:t>
            </w:r>
            <w:r w:rsidR="00C93A97" w:rsidRPr="00A14BBF">
              <w:t>Dále vzrostla v průběhu roku 20</w:t>
            </w:r>
            <w:r w:rsidR="0091586D" w:rsidRPr="00A14BBF">
              <w:t>20</w:t>
            </w:r>
            <w:r w:rsidR="00C93A97" w:rsidRPr="00A14BBF">
              <w:t xml:space="preserve"> i p</w:t>
            </w:r>
            <w:r w:rsidRPr="00A14BBF">
              <w:t>rodukce odpadů ze stavební činnosti</w:t>
            </w:r>
            <w:r w:rsidR="00C93A97" w:rsidRPr="00A14BBF">
              <w:t>.</w:t>
            </w:r>
          </w:p>
          <w:p w:rsidR="00D35BF1" w:rsidRPr="00A14BBF" w:rsidRDefault="008C12E6" w:rsidP="00550A58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t>V oblasti předcházení vzniku odpadů se</w:t>
            </w:r>
            <w:r w:rsidRPr="00A14BBF">
              <w:t xml:space="preserve"> zvyšuje osvěta, informovanost a</w:t>
            </w:r>
            <w:r w:rsidR="00550A58" w:rsidRPr="00A14BBF">
              <w:t> </w:t>
            </w:r>
            <w:r w:rsidRPr="00A14BBF">
              <w:t>neustále roste počet projektů, činností a akcí. Prevenci vzniku odpadů se věnuje několik strategických dokumentů, ty také obsahují cíle a</w:t>
            </w:r>
            <w:r w:rsidR="00550A58" w:rsidRPr="00A14BBF">
              <w:t> </w:t>
            </w:r>
            <w:r w:rsidRPr="00A14BBF">
              <w:t>opatření vztahující se k této oblasti. Rovněž dotační programy se silně zaměřují na p</w:t>
            </w:r>
            <w:r w:rsidRPr="00A14BBF">
              <w:t>ředcházení vzniku odpadů a opětovně použití výrobků.</w:t>
            </w:r>
          </w:p>
        </w:tc>
      </w:tr>
    </w:tbl>
    <w:p w:rsidR="002E043E" w:rsidRPr="00A14BBF" w:rsidRDefault="002E043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E427E" w:rsidRPr="00A14BBF" w:rsidRDefault="008C12E6" w:rsidP="00231CC9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58.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>Podporovat využívání servisních a charitativních středisek a organizací za účelem prodlužování životnosti a opětovného používání výrobků a materiálů.</w:t>
            </w:r>
          </w:p>
        </w:tc>
      </w:tr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818E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24446" w:rsidRPr="00A14BBF" w:rsidRDefault="008C12E6" w:rsidP="00924446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 xml:space="preserve">Cíl plněn </w:t>
            </w:r>
            <w:r w:rsidRPr="00A14BBF">
              <w:rPr>
                <w:rFonts w:cstheme="minorHAnsi"/>
                <w:b/>
                <w:color w:val="000000"/>
              </w:rPr>
              <w:t>částečně</w:t>
            </w:r>
            <w:r w:rsidR="00652BD5" w:rsidRPr="00A14BBF">
              <w:rPr>
                <w:rFonts w:cstheme="minorHAnsi"/>
                <w:b/>
                <w:color w:val="000000"/>
              </w:rPr>
              <w:t>.</w:t>
            </w:r>
          </w:p>
          <w:p w:rsidR="00DF5C7B" w:rsidRPr="00A14BBF" w:rsidRDefault="008C12E6" w:rsidP="00390C9A">
            <w:pPr>
              <w:spacing w:line="276" w:lineRule="auto"/>
              <w:rPr>
                <w:rFonts w:cs="Arial"/>
                <w:szCs w:val="24"/>
              </w:rPr>
            </w:pPr>
            <w:r w:rsidRPr="00A14BBF">
              <w:rPr>
                <w:rFonts w:cstheme="minorHAnsi"/>
                <w:color w:val="000000"/>
              </w:rPr>
              <w:t xml:space="preserve">MŽP již dlouhodobě podporuje aktivity nestátních neziskových organizací v oblasti prevence vzniku odpadu prostřednictvím </w:t>
            </w:r>
            <w:r w:rsidR="00075A0E" w:rsidRPr="00075A0E">
              <w:rPr>
                <w:rFonts w:cstheme="minorHAnsi"/>
                <w:color w:val="000000"/>
              </w:rPr>
              <w:t>Programu na podporu projektů nestátních neziskových organizací</w:t>
            </w:r>
            <w:r w:rsidRPr="00A14BBF">
              <w:rPr>
                <w:rFonts w:cstheme="minorHAnsi"/>
                <w:color w:val="000000"/>
              </w:rPr>
              <w:t>. Podpořena byla celá řada projektů. V ČR působí také charitati</w:t>
            </w:r>
            <w:r w:rsidRPr="00A14BBF">
              <w:rPr>
                <w:rFonts w:cstheme="minorHAnsi"/>
                <w:color w:val="000000"/>
              </w:rPr>
              <w:t>vní organizace, které významně přispívají k</w:t>
            </w:r>
            <w:r w:rsidR="00C11F27" w:rsidRPr="00A14BBF">
              <w:rPr>
                <w:rFonts w:cstheme="minorHAnsi"/>
                <w:color w:val="000000"/>
              </w:rPr>
              <w:t> </w:t>
            </w:r>
            <w:r w:rsidRPr="00A14BBF">
              <w:rPr>
                <w:rFonts w:cstheme="minorHAnsi"/>
                <w:color w:val="000000"/>
              </w:rPr>
              <w:t>předcházení vzniku odpadů, resp. prodlužují životnost některých výrobků.</w:t>
            </w:r>
            <w:r w:rsidR="00C11F27" w:rsidRPr="00A14BBF">
              <w:rPr>
                <w:rFonts w:cstheme="minorHAnsi"/>
                <w:color w:val="000000"/>
              </w:rPr>
              <w:t xml:space="preserve"> </w:t>
            </w:r>
            <w:r w:rsidR="000A180C" w:rsidRPr="00A14BBF">
              <w:rPr>
                <w:rFonts w:cstheme="minorHAnsi"/>
                <w:color w:val="000000"/>
              </w:rPr>
              <w:t>Podpora projektů je umožněna i z </w:t>
            </w:r>
            <w:r w:rsidR="00924446" w:rsidRPr="00A14BBF">
              <w:rPr>
                <w:rFonts w:cs="Arial"/>
                <w:bCs/>
                <w:szCs w:val="24"/>
              </w:rPr>
              <w:t>O</w:t>
            </w:r>
            <w:r w:rsidR="00231CC9" w:rsidRPr="00A14BBF">
              <w:rPr>
                <w:rFonts w:cs="Arial"/>
                <w:bCs/>
                <w:szCs w:val="24"/>
              </w:rPr>
              <w:t>PŽP</w:t>
            </w:r>
            <w:r w:rsidR="000A180C" w:rsidRPr="00A14BBF">
              <w:rPr>
                <w:rFonts w:cs="Arial"/>
                <w:bCs/>
                <w:szCs w:val="24"/>
              </w:rPr>
              <w:t xml:space="preserve">. </w:t>
            </w:r>
            <w:r w:rsidR="00924446" w:rsidRPr="00A14BBF">
              <w:rPr>
                <w:rFonts w:cs="Arial"/>
                <w:bCs/>
                <w:szCs w:val="24"/>
              </w:rPr>
              <w:t xml:space="preserve">Zatím není </w:t>
            </w:r>
            <w:r w:rsidR="00390C9A" w:rsidRPr="00A14BBF">
              <w:rPr>
                <w:rFonts w:cs="Arial"/>
                <w:bCs/>
                <w:szCs w:val="24"/>
              </w:rPr>
              <w:t xml:space="preserve">veřejnosti zpřístupněn </w:t>
            </w:r>
            <w:r w:rsidR="00924446" w:rsidRPr="00A14BBF">
              <w:rPr>
                <w:rFonts w:cs="Arial"/>
                <w:bCs/>
                <w:szCs w:val="24"/>
              </w:rPr>
              <w:t xml:space="preserve">dostatek </w:t>
            </w:r>
            <w:r w:rsidR="00924446" w:rsidRPr="00A14BBF">
              <w:rPr>
                <w:rFonts w:cs="Arial"/>
                <w:szCs w:val="24"/>
              </w:rPr>
              <w:t>servisních středisek.</w:t>
            </w:r>
          </w:p>
        </w:tc>
      </w:tr>
    </w:tbl>
    <w:p w:rsidR="002E043E" w:rsidRPr="00A14BBF" w:rsidRDefault="002E043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231CC9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59.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Zvýšit aktivní úlohu </w:t>
            </w:r>
            <w:r w:rsidRPr="00A14BBF">
              <w:rPr>
                <w:rFonts w:cs="Arial"/>
                <w:b/>
                <w:szCs w:val="24"/>
              </w:rPr>
              <w:t>výzkumu, experimentálního vývoje a inovací v oblasti podpory Programu předcházení vzniku odpadů.</w:t>
            </w:r>
          </w:p>
        </w:tc>
      </w:tr>
      <w:tr w:rsidR="007E5173" w:rsidTr="00231CC9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818E5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lastRenderedPageBreak/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11F27" w:rsidRPr="00A14BBF" w:rsidRDefault="008C12E6" w:rsidP="00C11F2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A14BBF">
              <w:rPr>
                <w:rFonts w:cstheme="minorHAnsi"/>
                <w:b/>
                <w:color w:val="000000"/>
              </w:rPr>
              <w:t>Cíl plněn</w:t>
            </w:r>
            <w:r w:rsidR="00B0541A" w:rsidRPr="00A14BBF">
              <w:rPr>
                <w:rFonts w:cstheme="minorHAnsi"/>
                <w:b/>
                <w:color w:val="000000"/>
              </w:rPr>
              <w:t>.</w:t>
            </w:r>
          </w:p>
          <w:p w:rsidR="00A55978" w:rsidRPr="00A14BBF" w:rsidRDefault="008C12E6" w:rsidP="003C1261">
            <w:pPr>
              <w:spacing w:line="276" w:lineRule="auto"/>
              <w:rPr>
                <w:rFonts w:cstheme="minorHAnsi"/>
                <w:color w:val="000000"/>
              </w:rPr>
            </w:pPr>
            <w:r w:rsidRPr="00A14BBF">
              <w:rPr>
                <w:rFonts w:cstheme="minorHAnsi"/>
                <w:color w:val="000000"/>
                <w:szCs w:val="24"/>
              </w:rPr>
              <w:t xml:space="preserve">Usnesením vlády České republiky č. 135 ze dne 17. února 2016 byla schválena Národní politika výzkumu, vývoje a inovací na léta </w:t>
            </w:r>
            <w:r w:rsidR="00C1329D" w:rsidRPr="00A14BBF">
              <w:rPr>
                <w:rFonts w:cstheme="minorHAnsi"/>
                <w:color w:val="000000"/>
                <w:szCs w:val="24"/>
              </w:rPr>
              <w:t>2016–2020</w:t>
            </w:r>
            <w:r w:rsidRPr="00A14BBF">
              <w:rPr>
                <w:rFonts w:cstheme="minorHAnsi"/>
                <w:color w:val="000000"/>
                <w:szCs w:val="24"/>
              </w:rPr>
              <w:t>.</w:t>
            </w:r>
            <w:r w:rsidR="00C11F27" w:rsidRPr="00A14BBF">
              <w:rPr>
                <w:rFonts w:cstheme="minorHAnsi"/>
                <w:color w:val="000000"/>
                <w:szCs w:val="24"/>
              </w:rPr>
              <w:t xml:space="preserve"> </w:t>
            </w:r>
            <w:r w:rsidRPr="00A14BBF">
              <w:rPr>
                <w:rFonts w:cstheme="minorHAnsi"/>
                <w:color w:val="000000"/>
                <w:szCs w:val="24"/>
              </w:rPr>
              <w:t>Programy T</w:t>
            </w:r>
            <w:r w:rsidR="003C1261" w:rsidRPr="00A14BBF">
              <w:rPr>
                <w:rFonts w:cstheme="minorHAnsi"/>
                <w:color w:val="000000"/>
                <w:szCs w:val="24"/>
              </w:rPr>
              <w:t>echnologické agentury ČR</w:t>
            </w:r>
            <w:r w:rsidRPr="00A14BBF">
              <w:rPr>
                <w:rFonts w:cstheme="minorHAnsi"/>
                <w:color w:val="000000"/>
                <w:szCs w:val="24"/>
              </w:rPr>
              <w:t xml:space="preserve"> nabízí prostor pro řešení problematiky předcházení vzniku odpadů na různých úrovních. Dále Resortní výzkum Ministerstva průmyslu a obchodu zajišťuje podporu projektů aplikovaného výzkumu a</w:t>
            </w:r>
            <w:r w:rsidR="00C11F27" w:rsidRPr="00A14BBF">
              <w:rPr>
                <w:rFonts w:cstheme="minorHAnsi"/>
                <w:color w:val="000000"/>
                <w:szCs w:val="24"/>
              </w:rPr>
              <w:t> </w:t>
            </w:r>
            <w:r w:rsidRPr="00A14BBF">
              <w:rPr>
                <w:rFonts w:cstheme="minorHAnsi"/>
                <w:color w:val="000000"/>
                <w:szCs w:val="24"/>
              </w:rPr>
              <w:t>experimentálního vývoje pro průmyslovou výrobu</w:t>
            </w:r>
            <w:r w:rsidR="00C11F27" w:rsidRPr="00A14BBF">
              <w:rPr>
                <w:rFonts w:cstheme="minorHAnsi"/>
                <w:color w:val="000000"/>
                <w:szCs w:val="24"/>
              </w:rPr>
              <w:t>. Této oblasti se dotýk</w:t>
            </w:r>
            <w:r w:rsidR="00C939B8" w:rsidRPr="00A14BBF">
              <w:rPr>
                <w:rFonts w:cstheme="minorHAnsi"/>
                <w:color w:val="000000"/>
                <w:szCs w:val="24"/>
              </w:rPr>
              <w:t xml:space="preserve">ají </w:t>
            </w:r>
            <w:r w:rsidR="00C11F27" w:rsidRPr="00A14BBF">
              <w:rPr>
                <w:rFonts w:cstheme="minorHAnsi"/>
                <w:color w:val="000000"/>
                <w:szCs w:val="24"/>
              </w:rPr>
              <w:t>také r</w:t>
            </w:r>
            <w:r w:rsidR="00C11F27" w:rsidRPr="00A14BBF">
              <w:rPr>
                <w:rFonts w:ascii="Calibri" w:hAnsi="Calibri" w:cs="Calibri"/>
                <w:bCs/>
                <w:szCs w:val="24"/>
              </w:rPr>
              <w:t>esortní výzkum</w:t>
            </w:r>
            <w:r w:rsidR="00C939B8" w:rsidRPr="00A14BBF">
              <w:rPr>
                <w:rFonts w:ascii="Calibri" w:hAnsi="Calibri" w:cs="Calibri"/>
                <w:bCs/>
                <w:szCs w:val="24"/>
              </w:rPr>
              <w:t>y dalších ministerstev (</w:t>
            </w:r>
            <w:r w:rsidR="00C11F27" w:rsidRPr="00A14BBF">
              <w:rPr>
                <w:rFonts w:ascii="Calibri" w:hAnsi="Calibri" w:cs="Calibri"/>
                <w:bCs/>
                <w:szCs w:val="24"/>
              </w:rPr>
              <w:t>Ministerstva zemědělství</w:t>
            </w:r>
            <w:r w:rsidR="00C939B8" w:rsidRPr="00A14BBF">
              <w:rPr>
                <w:rFonts w:ascii="Calibri" w:hAnsi="Calibri" w:cs="Calibri"/>
                <w:bCs/>
                <w:szCs w:val="24"/>
              </w:rPr>
              <w:t xml:space="preserve">, </w:t>
            </w:r>
            <w:r w:rsidR="00C11F27" w:rsidRPr="00A14BBF">
              <w:rPr>
                <w:rFonts w:cstheme="minorHAnsi"/>
                <w:bCs/>
                <w:color w:val="000000"/>
                <w:szCs w:val="24"/>
              </w:rPr>
              <w:t>Ministerstva školství, mládeže a</w:t>
            </w:r>
            <w:r w:rsidR="00C939B8" w:rsidRPr="00A14BBF">
              <w:rPr>
                <w:rFonts w:cstheme="minorHAnsi"/>
                <w:bCs/>
                <w:color w:val="000000"/>
                <w:szCs w:val="24"/>
              </w:rPr>
              <w:t> </w:t>
            </w:r>
            <w:r w:rsidR="00C11F27" w:rsidRPr="00A14BBF">
              <w:rPr>
                <w:rFonts w:cstheme="minorHAnsi"/>
                <w:bCs/>
                <w:color w:val="000000"/>
                <w:szCs w:val="24"/>
              </w:rPr>
              <w:t>tělovýchovy</w:t>
            </w:r>
            <w:r w:rsidR="00C939B8" w:rsidRPr="00A14BBF">
              <w:rPr>
                <w:rFonts w:cstheme="minorHAnsi"/>
                <w:bCs/>
                <w:color w:val="000000"/>
                <w:szCs w:val="24"/>
              </w:rPr>
              <w:t>)</w:t>
            </w:r>
            <w:r w:rsidR="00C11F27" w:rsidRPr="00A14BBF">
              <w:rPr>
                <w:rFonts w:cstheme="minorHAnsi"/>
                <w:bCs/>
                <w:color w:val="000000"/>
                <w:szCs w:val="24"/>
              </w:rPr>
              <w:t>.</w:t>
            </w:r>
            <w:r w:rsidR="002A0D98" w:rsidRPr="00A14BBF">
              <w:rPr>
                <w:rFonts w:cstheme="minorHAnsi"/>
                <w:bCs/>
                <w:color w:val="000000"/>
                <w:szCs w:val="24"/>
              </w:rPr>
              <w:t xml:space="preserve"> </w:t>
            </w:r>
          </w:p>
        </w:tc>
      </w:tr>
    </w:tbl>
    <w:p w:rsidR="002E043E" w:rsidRPr="00A14BBF" w:rsidRDefault="002E043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9B373D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917D2B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60.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Zvýšit účinnost prosazování problematiky předcházení vzniku odpadů v aktivitách a činnostech kolektivních systémů a </w:t>
            </w:r>
            <w:r w:rsidRPr="00A14BBF">
              <w:rPr>
                <w:rFonts w:cs="Arial"/>
                <w:b/>
                <w:szCs w:val="24"/>
              </w:rPr>
              <w:t>systémů zpětně odebíraných výrobků.</w:t>
            </w:r>
          </w:p>
        </w:tc>
      </w:tr>
      <w:tr w:rsidR="007E5173" w:rsidTr="009B373D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61D3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60913" w:rsidRPr="00A14BBF" w:rsidRDefault="008C12E6" w:rsidP="00C60913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Cíl plněn</w:t>
            </w:r>
            <w:r w:rsidR="009B373D" w:rsidRPr="00A14BBF">
              <w:rPr>
                <w:b/>
              </w:rPr>
              <w:t>.</w:t>
            </w:r>
          </w:p>
          <w:p w:rsidR="00D861D3" w:rsidRPr="00A14BBF" w:rsidRDefault="008C12E6" w:rsidP="00E1563F">
            <w:pPr>
              <w:spacing w:line="276" w:lineRule="auto"/>
              <w:rPr>
                <w:rFonts w:cs="Arial"/>
                <w:szCs w:val="24"/>
              </w:rPr>
            </w:pPr>
            <w:r w:rsidRPr="00A14BBF">
              <w:t xml:space="preserve">MŽP </w:t>
            </w:r>
            <w:r w:rsidR="009B373D" w:rsidRPr="00A14BBF">
              <w:t xml:space="preserve">poskytuje veřejnosti informace např. Metodickou příručku pro občany o správném používání elektronických a elektrických zařízení v domácnostech, připravenou </w:t>
            </w:r>
            <w:r w:rsidRPr="00A14BBF">
              <w:t xml:space="preserve">v rámci projektu </w:t>
            </w:r>
            <w:r w:rsidRPr="00A14BBF">
              <w:t>TAČR</w:t>
            </w:r>
            <w:r w:rsidR="009B373D" w:rsidRPr="00A14BBF">
              <w:t xml:space="preserve">. </w:t>
            </w:r>
            <w:r w:rsidR="00E1563F" w:rsidRPr="00A14BBF">
              <w:t xml:space="preserve">MŽP zveřejňuje seznamy a mapy míst zpětného odběru výrobků s ukončenou životností. </w:t>
            </w:r>
            <w:r w:rsidR="009B373D" w:rsidRPr="00A14BBF">
              <w:t xml:space="preserve">Došlo ke zvýšení </w:t>
            </w:r>
            <w:r w:rsidR="00CA36A6" w:rsidRPr="00A14BBF">
              <w:t xml:space="preserve">a zlepšení </w:t>
            </w:r>
            <w:r w:rsidR="003A150C" w:rsidRPr="00A14BBF">
              <w:t>osvětov</w:t>
            </w:r>
            <w:r w:rsidR="009B373D" w:rsidRPr="00A14BBF">
              <w:t>é</w:t>
            </w:r>
            <w:r w:rsidR="003A150C" w:rsidRPr="00A14BBF">
              <w:t xml:space="preserve"> činnost</w:t>
            </w:r>
            <w:r w:rsidR="009B373D" w:rsidRPr="00A14BBF">
              <w:t>i</w:t>
            </w:r>
            <w:r w:rsidR="003A150C" w:rsidRPr="00A14BBF">
              <w:t xml:space="preserve"> jednotlivých kolektivních systémů prohlubující znalosti</w:t>
            </w:r>
            <w:r w:rsidR="009B373D" w:rsidRPr="00A14BBF">
              <w:t xml:space="preserve"> občanů </w:t>
            </w:r>
            <w:r w:rsidR="003A150C" w:rsidRPr="00A14BBF">
              <w:t>v oblasti třídění a recyklace odpadů a</w:t>
            </w:r>
            <w:r w:rsidR="00CA36A6" w:rsidRPr="00A14BBF">
              <w:t> </w:t>
            </w:r>
            <w:r w:rsidR="003A150C" w:rsidRPr="00A14BBF">
              <w:t xml:space="preserve">umožňující </w:t>
            </w:r>
            <w:r w:rsidR="00CA36A6" w:rsidRPr="00A14BBF">
              <w:t xml:space="preserve">získání </w:t>
            </w:r>
            <w:r w:rsidR="003A150C" w:rsidRPr="00A14BBF">
              <w:t xml:space="preserve">osobní zkušenosti se zpětným odběrem výrobků s ukončenou životností. </w:t>
            </w:r>
            <w:r w:rsidR="00EF481C" w:rsidRPr="00A14BBF">
              <w:t xml:space="preserve">Vzrostl počet osvětových akcí pořádaných kolektivními systémy často se zapojením jednotlivých krajů. </w:t>
            </w:r>
          </w:p>
        </w:tc>
      </w:tr>
    </w:tbl>
    <w:p w:rsidR="002E043E" w:rsidRPr="00A14BBF" w:rsidRDefault="002E043E" w:rsidP="001C1AF2">
      <w:pPr>
        <w:spacing w:line="276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1276"/>
        <w:gridCol w:w="5386"/>
      </w:tblGrid>
      <w:tr w:rsidR="007E5173" w:rsidTr="00F56EDE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0B36E1">
            <w:pPr>
              <w:spacing w:line="276" w:lineRule="auto"/>
              <w:jc w:val="center"/>
            </w:pPr>
            <w:r w:rsidRPr="00A14BBF">
              <w:rPr>
                <w:b/>
              </w:rPr>
              <w:t>Cíl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61.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jc w:val="center"/>
            </w:pPr>
            <w:r w:rsidRPr="00A14BBF">
              <w:t>3.7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E427E" w:rsidRPr="00A14BBF" w:rsidRDefault="008C12E6" w:rsidP="001C1AF2">
            <w:pPr>
              <w:spacing w:line="276" w:lineRule="auto"/>
              <w:rPr>
                <w:b/>
                <w:bCs/>
                <w:iCs/>
              </w:rPr>
            </w:pPr>
            <w:r w:rsidRPr="00A14BBF">
              <w:rPr>
                <w:rFonts w:cs="Arial"/>
                <w:b/>
                <w:szCs w:val="24"/>
              </w:rPr>
              <w:t xml:space="preserve">Zajistit vypracování potřebných analytických podkladů a hodnotících </w:t>
            </w:r>
            <w:r w:rsidRPr="00A14BBF">
              <w:rPr>
                <w:rFonts w:cs="Arial"/>
                <w:b/>
                <w:szCs w:val="24"/>
              </w:rPr>
              <w:t>nástrojů za účelem vyhodnocování účinnosti Programu předcházení vzniku odpadů a posouzení dosažených pokroků dílčích prevenčních cílů a opatření.</w:t>
            </w:r>
          </w:p>
        </w:tc>
      </w:tr>
      <w:tr w:rsidR="007E5173" w:rsidTr="00F56EDE">
        <w:tc>
          <w:tcPr>
            <w:tcW w:w="19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61D3" w:rsidRPr="00A14BBF" w:rsidRDefault="008C12E6" w:rsidP="001C1AF2">
            <w:pPr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Hodnocení stavu plnění cíle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56EDE" w:rsidRPr="00A14BBF" w:rsidRDefault="008C12E6" w:rsidP="00F56EDE">
            <w:pPr>
              <w:spacing w:line="276" w:lineRule="auto"/>
              <w:rPr>
                <w:b/>
              </w:rPr>
            </w:pPr>
            <w:r w:rsidRPr="00A14BBF">
              <w:rPr>
                <w:b/>
              </w:rPr>
              <w:t>Cíl plněn.</w:t>
            </w:r>
          </w:p>
          <w:p w:rsidR="00D861D3" w:rsidRPr="00A14BBF" w:rsidRDefault="008C12E6" w:rsidP="00F56EDE">
            <w:pPr>
              <w:spacing w:line="276" w:lineRule="auto"/>
              <w:rPr>
                <w:rFonts w:cs="Arial"/>
                <w:szCs w:val="24"/>
              </w:rPr>
            </w:pPr>
            <w:r w:rsidRPr="00A14BBF">
              <w:t>M</w:t>
            </w:r>
            <w:r w:rsidR="007045BC" w:rsidRPr="00A14BBF">
              <w:t>ŽP zpracov</w:t>
            </w:r>
            <w:r w:rsidRPr="00A14BBF">
              <w:t>alo</w:t>
            </w:r>
            <w:r w:rsidR="007045BC" w:rsidRPr="00A14BBF">
              <w:t xml:space="preserve"> </w:t>
            </w:r>
            <w:r w:rsidRPr="00A14BBF">
              <w:t xml:space="preserve">Metodiku pro hodnocení plnění Plánu odpadového hospodářství a </w:t>
            </w:r>
            <w:r w:rsidR="007045BC" w:rsidRPr="00A14BBF">
              <w:t>Metodik</w:t>
            </w:r>
            <w:r w:rsidRPr="00A14BBF">
              <w:t>u</w:t>
            </w:r>
            <w:r w:rsidR="007045BC" w:rsidRPr="00A14BBF">
              <w:t xml:space="preserve"> pro sledování a</w:t>
            </w:r>
            <w:r w:rsidR="00A021A8" w:rsidRPr="00A14BBF">
              <w:t> </w:t>
            </w:r>
            <w:r w:rsidR="007045BC" w:rsidRPr="00A14BBF">
              <w:t>hodnocení realizace Programu předcházení vzniku odpadů</w:t>
            </w:r>
            <w:r w:rsidRPr="00A14BBF">
              <w:t xml:space="preserve">. </w:t>
            </w:r>
          </w:p>
        </w:tc>
      </w:tr>
    </w:tbl>
    <w:p w:rsidR="004F2A36" w:rsidRPr="00A14BBF" w:rsidRDefault="008C12E6" w:rsidP="001C1AF2">
      <w:pPr>
        <w:spacing w:line="276" w:lineRule="auto"/>
      </w:pPr>
      <w:r w:rsidRPr="00A14BBF">
        <w:br/>
      </w:r>
    </w:p>
    <w:p w:rsidR="004F2A36" w:rsidRPr="00A14BBF" w:rsidRDefault="008C12E6">
      <w:pPr>
        <w:spacing w:after="200" w:line="276" w:lineRule="auto"/>
        <w:jc w:val="left"/>
      </w:pPr>
      <w:r w:rsidRPr="00A14BBF">
        <w:br w:type="page"/>
      </w:r>
    </w:p>
    <w:p w:rsidR="0034324E" w:rsidRPr="00A14BBF" w:rsidRDefault="008C12E6" w:rsidP="00393526">
      <w:pPr>
        <w:pStyle w:val="Nadpis1"/>
      </w:pPr>
      <w:bookmarkStart w:id="36" w:name="_Toc256000010"/>
      <w:r w:rsidRPr="00A14BBF">
        <w:lastRenderedPageBreak/>
        <w:t>Závěr</w:t>
      </w:r>
      <w:bookmarkEnd w:id="36"/>
      <w:r w:rsidR="00393526" w:rsidRPr="00A14BBF">
        <w:t xml:space="preserve"> </w:t>
      </w:r>
    </w:p>
    <w:p w:rsidR="0034324E" w:rsidRPr="00A14BBF" w:rsidRDefault="0034324E" w:rsidP="0034324E"/>
    <w:p w:rsidR="00584D17" w:rsidRPr="00A14BBF" w:rsidRDefault="008C12E6" w:rsidP="00336AE1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Cs w:val="24"/>
        </w:rPr>
      </w:pPr>
      <w:r w:rsidRPr="00A14BBF">
        <w:rPr>
          <w:rFonts w:ascii="Calibri" w:hAnsi="Calibri" w:cs="Calibri"/>
          <w:color w:val="000000"/>
          <w:szCs w:val="24"/>
        </w:rPr>
        <w:t>Zpráva o plnění cílů Plánu odpadového hospodářství Č</w:t>
      </w:r>
      <w:r w:rsidR="009C48DF" w:rsidRPr="00A14BBF">
        <w:rPr>
          <w:rFonts w:ascii="Calibri" w:hAnsi="Calibri" w:cs="Calibri"/>
          <w:color w:val="000000"/>
          <w:szCs w:val="24"/>
        </w:rPr>
        <w:t>R</w:t>
      </w:r>
      <w:r w:rsidRPr="00A14BBF">
        <w:rPr>
          <w:rFonts w:ascii="Calibri" w:hAnsi="Calibri" w:cs="Calibri"/>
          <w:color w:val="000000"/>
          <w:szCs w:val="24"/>
        </w:rPr>
        <w:t xml:space="preserve"> </w:t>
      </w:r>
      <w:r w:rsidR="004C05CF" w:rsidRPr="00A14BBF">
        <w:rPr>
          <w:rFonts w:ascii="Calibri" w:hAnsi="Calibri" w:cs="Calibri"/>
          <w:color w:val="000000"/>
          <w:szCs w:val="24"/>
        </w:rPr>
        <w:t xml:space="preserve">(POH ČR) </w:t>
      </w:r>
      <w:r w:rsidR="00B87470" w:rsidRPr="00A14BBF">
        <w:rPr>
          <w:rFonts w:ascii="Calibri" w:hAnsi="Calibri" w:cs="Calibri"/>
          <w:color w:val="000000"/>
          <w:szCs w:val="24"/>
        </w:rPr>
        <w:t>hodnotí</w:t>
      </w:r>
      <w:r w:rsidRPr="00A14BBF">
        <w:t xml:space="preserve"> plnění jednotlivých cílů POH</w:t>
      </w:r>
      <w:r w:rsidR="007176F3" w:rsidRPr="00A14BBF">
        <w:t> </w:t>
      </w:r>
      <w:r w:rsidRPr="00A14BBF">
        <w:t>ČR</w:t>
      </w:r>
      <w:r w:rsidR="00B93D56" w:rsidRPr="00A14BBF">
        <w:t xml:space="preserve">, aktivit a opatření </w:t>
      </w:r>
      <w:r w:rsidRPr="00A14BBF">
        <w:t xml:space="preserve">za období </w:t>
      </w:r>
      <w:r w:rsidR="00C1329D" w:rsidRPr="00A14BBF">
        <w:t>2019</w:t>
      </w:r>
      <w:r w:rsidR="00C1329D">
        <w:t>–2020</w:t>
      </w:r>
      <w:r w:rsidR="00B93D56" w:rsidRPr="00A14BBF">
        <w:t xml:space="preserve">. </w:t>
      </w:r>
      <w:r w:rsidRPr="00A14BBF">
        <w:t xml:space="preserve"> </w:t>
      </w:r>
      <w:r w:rsidR="00B93D56" w:rsidRPr="00A14BBF">
        <w:t xml:space="preserve">Hodnotící zpráva je </w:t>
      </w:r>
      <w:r w:rsidR="00D8550B" w:rsidRPr="00A14BBF">
        <w:t>vy</w:t>
      </w:r>
      <w:r w:rsidR="00C23949" w:rsidRPr="00A14BBF">
        <w:t xml:space="preserve">pracována </w:t>
      </w:r>
      <w:r w:rsidR="00B93D56" w:rsidRPr="00A14BBF">
        <w:t>na základě</w:t>
      </w:r>
      <w:r w:rsidR="00D8550B" w:rsidRPr="00A14BBF">
        <w:t xml:space="preserve"> </w:t>
      </w:r>
      <w:r w:rsidRPr="00A14BBF">
        <w:rPr>
          <w:rFonts w:ascii="Calibri" w:hAnsi="Calibri" w:cs="Calibri"/>
          <w:color w:val="000000"/>
          <w:szCs w:val="24"/>
        </w:rPr>
        <w:t>zákona</w:t>
      </w:r>
      <w:r w:rsidR="00D8550B" w:rsidRPr="00A14BBF">
        <w:rPr>
          <w:rFonts w:ascii="Calibri" w:hAnsi="Calibri" w:cs="Calibri"/>
          <w:color w:val="000000"/>
          <w:szCs w:val="24"/>
        </w:rPr>
        <w:t xml:space="preserve"> </w:t>
      </w:r>
      <w:r w:rsidRPr="00A14BBF">
        <w:rPr>
          <w:rFonts w:ascii="Calibri" w:hAnsi="Calibri" w:cs="Calibri"/>
          <w:color w:val="000000"/>
          <w:szCs w:val="24"/>
        </w:rPr>
        <w:t>o odpadech</w:t>
      </w:r>
      <w:r w:rsidR="00D8550B" w:rsidRPr="00A14BBF">
        <w:rPr>
          <w:rFonts w:ascii="Calibri" w:hAnsi="Calibri" w:cs="Calibri"/>
          <w:color w:val="000000"/>
          <w:szCs w:val="24"/>
        </w:rPr>
        <w:t xml:space="preserve">. </w:t>
      </w:r>
    </w:p>
    <w:p w:rsidR="00B93D56" w:rsidRPr="00A14BBF" w:rsidRDefault="008C12E6" w:rsidP="004C05CF">
      <w:pPr>
        <w:autoSpaceDE w:val="0"/>
        <w:autoSpaceDN w:val="0"/>
        <w:adjustRightInd w:val="0"/>
        <w:spacing w:after="240" w:line="276" w:lineRule="auto"/>
      </w:pPr>
      <w:r w:rsidRPr="00A14BBF">
        <w:t xml:space="preserve">POH ČR </w:t>
      </w:r>
      <w:r w:rsidR="00BD40AF" w:rsidRPr="00A14BBF">
        <w:t xml:space="preserve">stanovuje </w:t>
      </w:r>
      <w:r w:rsidR="00771938" w:rsidRPr="00A14BBF">
        <w:t xml:space="preserve">celkem </w:t>
      </w:r>
      <w:r w:rsidRPr="00A14BBF">
        <w:t xml:space="preserve">61 cílů z toho </w:t>
      </w:r>
      <w:r w:rsidR="00BD40AF" w:rsidRPr="00A14BBF">
        <w:t>4 strategické</w:t>
      </w:r>
      <w:r w:rsidRPr="00A14BBF">
        <w:t xml:space="preserve">, </w:t>
      </w:r>
      <w:r w:rsidR="00BD40AF" w:rsidRPr="00A14BBF">
        <w:t>23 hlavních</w:t>
      </w:r>
      <w:r w:rsidRPr="00A14BBF">
        <w:t xml:space="preserve"> a 34 dílčích. </w:t>
      </w:r>
    </w:p>
    <w:p w:rsidR="00860A87" w:rsidRPr="00A14BBF" w:rsidRDefault="008C12E6" w:rsidP="00336A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</w:pPr>
      <w:r w:rsidRPr="00A14BBF">
        <w:rPr>
          <w:b/>
          <w:sz w:val="26"/>
          <w:szCs w:val="26"/>
        </w:rPr>
        <w:t xml:space="preserve">Z vyhodnocení plnění cílů POH ČR za období </w:t>
      </w:r>
      <w:r w:rsidR="00C1329D" w:rsidRPr="00A14BBF">
        <w:rPr>
          <w:b/>
          <w:sz w:val="26"/>
          <w:szCs w:val="26"/>
        </w:rPr>
        <w:t>2019</w:t>
      </w:r>
      <w:r w:rsidR="00C1329D">
        <w:rPr>
          <w:b/>
          <w:sz w:val="26"/>
          <w:szCs w:val="26"/>
        </w:rPr>
        <w:t>–2020</w:t>
      </w:r>
      <w:r w:rsidRPr="00A14BBF">
        <w:rPr>
          <w:b/>
          <w:sz w:val="26"/>
          <w:szCs w:val="26"/>
        </w:rPr>
        <w:t xml:space="preserve"> vyplývá, že</w:t>
      </w:r>
      <w:r w:rsidRPr="00A14BBF">
        <w:rPr>
          <w:b/>
          <w:sz w:val="26"/>
          <w:szCs w:val="26"/>
        </w:rPr>
        <w:t xml:space="preserve"> ze všech 61</w:t>
      </w:r>
      <w:r w:rsidR="00AB0988" w:rsidRPr="00A14BBF">
        <w:rPr>
          <w:b/>
          <w:sz w:val="26"/>
          <w:szCs w:val="26"/>
        </w:rPr>
        <w:t> </w:t>
      </w:r>
      <w:r w:rsidRPr="00A14BBF">
        <w:rPr>
          <w:b/>
          <w:sz w:val="26"/>
          <w:szCs w:val="26"/>
        </w:rPr>
        <w:t>cílů je:</w:t>
      </w:r>
    </w:p>
    <w:p w:rsidR="00860A87" w:rsidRPr="00A14BBF" w:rsidRDefault="008C12E6" w:rsidP="00E81BE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contextualSpacing w:val="0"/>
      </w:pPr>
      <w:r w:rsidRPr="00A14BBF">
        <w:rPr>
          <w:b/>
          <w:sz w:val="26"/>
          <w:szCs w:val="26"/>
        </w:rPr>
        <w:t>40</w:t>
      </w:r>
      <w:r w:rsidR="00216E2F" w:rsidRPr="00A14BBF">
        <w:rPr>
          <w:b/>
          <w:sz w:val="26"/>
          <w:szCs w:val="26"/>
        </w:rPr>
        <w:t xml:space="preserve"> cílů je</w:t>
      </w:r>
      <w:r w:rsidR="004C05CF" w:rsidRPr="00A14BBF">
        <w:rPr>
          <w:b/>
          <w:sz w:val="26"/>
          <w:szCs w:val="26"/>
        </w:rPr>
        <w:t> </w:t>
      </w:r>
      <w:r w:rsidR="00216E2F" w:rsidRPr="00A14BBF">
        <w:rPr>
          <w:b/>
          <w:sz w:val="26"/>
          <w:szCs w:val="26"/>
        </w:rPr>
        <w:t>plněno</w:t>
      </w:r>
      <w:r w:rsidR="00DE5798">
        <w:rPr>
          <w:b/>
          <w:sz w:val="26"/>
          <w:szCs w:val="26"/>
        </w:rPr>
        <w:t>,</w:t>
      </w:r>
      <w:r w:rsidR="00216E2F" w:rsidRPr="00A14BBF">
        <w:rPr>
          <w:sz w:val="26"/>
          <w:szCs w:val="26"/>
        </w:rPr>
        <w:t xml:space="preserve"> </w:t>
      </w:r>
    </w:p>
    <w:p w:rsidR="00677CF9" w:rsidRPr="00A14BBF" w:rsidRDefault="008C12E6" w:rsidP="00A81C1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contextualSpacing w:val="0"/>
      </w:pPr>
      <w:r w:rsidRPr="00A14BBF">
        <w:rPr>
          <w:b/>
          <w:sz w:val="26"/>
          <w:szCs w:val="26"/>
        </w:rPr>
        <w:t xml:space="preserve">19 </w:t>
      </w:r>
      <w:r w:rsidR="00B93D56" w:rsidRPr="00A14BBF">
        <w:rPr>
          <w:b/>
          <w:sz w:val="26"/>
          <w:szCs w:val="26"/>
        </w:rPr>
        <w:t>cílů je plněno částečně</w:t>
      </w:r>
      <w:r w:rsidR="00DE5798">
        <w:rPr>
          <w:b/>
          <w:sz w:val="26"/>
          <w:szCs w:val="26"/>
        </w:rPr>
        <w:t>,</w:t>
      </w:r>
      <w:r w:rsidRPr="00A14BBF">
        <w:rPr>
          <w:b/>
          <w:sz w:val="26"/>
          <w:szCs w:val="26"/>
        </w:rPr>
        <w:t xml:space="preserve"> </w:t>
      </w:r>
    </w:p>
    <w:p w:rsidR="007176F3" w:rsidRPr="00A14BBF" w:rsidRDefault="008C12E6" w:rsidP="00A81C1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contextualSpacing w:val="0"/>
      </w:pPr>
      <w:r w:rsidRPr="00A14BBF">
        <w:rPr>
          <w:b/>
          <w:sz w:val="26"/>
          <w:szCs w:val="26"/>
        </w:rPr>
        <w:t>1 cíl není plněn</w:t>
      </w:r>
      <w:r w:rsidR="00DE5798">
        <w:rPr>
          <w:b/>
          <w:sz w:val="26"/>
          <w:szCs w:val="26"/>
        </w:rPr>
        <w:t>,</w:t>
      </w:r>
    </w:p>
    <w:p w:rsidR="00860A87" w:rsidRPr="00A14BBF" w:rsidRDefault="008C12E6" w:rsidP="00336A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240" w:line="276" w:lineRule="auto"/>
        <w:ind w:left="1434" w:hanging="357"/>
        <w:contextualSpacing w:val="0"/>
      </w:pPr>
      <w:r w:rsidRPr="00A14BBF">
        <w:t>1 cíl nebyl hodnocen (cíl pro rok 2018 v oblasti využití elektroodpadů)</w:t>
      </w:r>
      <w:r w:rsidR="006F1971" w:rsidRPr="00A14BBF">
        <w:t xml:space="preserve">, </w:t>
      </w:r>
      <w:r w:rsidR="00677CF9" w:rsidRPr="00A14BBF">
        <w:t>tento cíl není relevantní p</w:t>
      </w:r>
      <w:r w:rsidR="006F1971" w:rsidRPr="00A14BBF">
        <w:t xml:space="preserve">ro období </w:t>
      </w:r>
      <w:r w:rsidR="00C1329D" w:rsidRPr="00A14BBF">
        <w:t>2019</w:t>
      </w:r>
      <w:r w:rsidR="00C1329D">
        <w:t>–2020</w:t>
      </w:r>
      <w:r w:rsidRPr="00A14BBF"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87"/>
        <w:gridCol w:w="2268"/>
      </w:tblGrid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3D0BA2" w:rsidRPr="00A14BBF" w:rsidRDefault="008C12E6" w:rsidP="009D1CB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b/>
              </w:rPr>
              <w:t>Plnění cílů POH ČR (201</w:t>
            </w:r>
            <w:r w:rsidR="009D1CB3" w:rsidRPr="00A14BBF">
              <w:rPr>
                <w:b/>
              </w:rPr>
              <w:t>8</w:t>
            </w:r>
            <w:r w:rsidRPr="00A14BBF">
              <w:rPr>
                <w:b/>
              </w:rPr>
              <w:t>)</w:t>
            </w:r>
            <w:r w:rsidR="006405E0" w:rsidRPr="00A14BBF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D0BA2" w:rsidRPr="00A14BBF" w:rsidRDefault="008C12E6" w:rsidP="00185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Počet</w:t>
            </w:r>
            <w:r w:rsidR="0055653A" w:rsidRPr="00A14BBF">
              <w:rPr>
                <w:b/>
              </w:rPr>
              <w:t xml:space="preserve"> (61)</w:t>
            </w:r>
          </w:p>
        </w:tc>
      </w:tr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3D0BA2" w:rsidRPr="00A14BBF" w:rsidRDefault="008C12E6" w:rsidP="0018572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 xml:space="preserve">Cíl </w:t>
            </w:r>
            <w:r w:rsidRPr="00A14BBF">
              <w:rPr>
                <w:rFonts w:ascii="Calibri" w:hAnsi="Calibri"/>
                <w:b/>
                <w:szCs w:val="24"/>
              </w:rPr>
              <w:t>plněn</w:t>
            </w:r>
          </w:p>
        </w:tc>
        <w:tc>
          <w:tcPr>
            <w:tcW w:w="2268" w:type="dxa"/>
            <w:vAlign w:val="center"/>
          </w:tcPr>
          <w:p w:rsidR="003D0BA2" w:rsidRPr="00A14BBF" w:rsidRDefault="008C12E6" w:rsidP="009A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40</w:t>
            </w:r>
          </w:p>
        </w:tc>
      </w:tr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3D0BA2" w:rsidRPr="00A14BBF" w:rsidRDefault="008C12E6" w:rsidP="0018572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>Cíl částečně plněn</w:t>
            </w:r>
          </w:p>
        </w:tc>
        <w:tc>
          <w:tcPr>
            <w:tcW w:w="2268" w:type="dxa"/>
            <w:vAlign w:val="center"/>
          </w:tcPr>
          <w:p w:rsidR="003D0BA2" w:rsidRPr="00A14BBF" w:rsidRDefault="008C12E6" w:rsidP="009A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19</w:t>
            </w:r>
          </w:p>
        </w:tc>
      </w:tr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3D0BA2" w:rsidRPr="00A14BBF" w:rsidRDefault="008C12E6" w:rsidP="0018572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>Cíl není plněn</w:t>
            </w:r>
          </w:p>
        </w:tc>
        <w:tc>
          <w:tcPr>
            <w:tcW w:w="2268" w:type="dxa"/>
            <w:vAlign w:val="center"/>
          </w:tcPr>
          <w:p w:rsidR="003D0BA2" w:rsidRPr="00A14BBF" w:rsidRDefault="008C12E6" w:rsidP="00185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</w:t>
            </w:r>
          </w:p>
        </w:tc>
      </w:tr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8A1565" w:rsidRPr="00A14BBF" w:rsidRDefault="008C12E6" w:rsidP="001857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A14BBF">
              <w:rPr>
                <w:rFonts w:ascii="Calibri" w:hAnsi="Calibri"/>
                <w:b/>
                <w:szCs w:val="24"/>
              </w:rPr>
              <w:t xml:space="preserve">Cíl nehodnocen </w:t>
            </w:r>
          </w:p>
        </w:tc>
        <w:tc>
          <w:tcPr>
            <w:tcW w:w="2268" w:type="dxa"/>
            <w:vAlign w:val="center"/>
          </w:tcPr>
          <w:p w:rsidR="008A1565" w:rsidRPr="00A14BBF" w:rsidRDefault="008C12E6" w:rsidP="00185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</w:t>
            </w:r>
          </w:p>
        </w:tc>
      </w:tr>
    </w:tbl>
    <w:p w:rsidR="003D0BA2" w:rsidRPr="00A14BBF" w:rsidRDefault="003D0BA2" w:rsidP="00400C8C">
      <w:pPr>
        <w:autoSpaceDE w:val="0"/>
        <w:autoSpaceDN w:val="0"/>
        <w:adjustRightInd w:val="0"/>
        <w:spacing w:after="240" w:line="276" w:lineRule="auto"/>
      </w:pPr>
    </w:p>
    <w:p w:rsidR="00FF782E" w:rsidRPr="00A14BBF" w:rsidRDefault="008C12E6" w:rsidP="00F953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357"/>
        <w:contextualSpacing w:val="0"/>
        <w:rPr>
          <w:sz w:val="26"/>
          <w:szCs w:val="26"/>
        </w:rPr>
      </w:pPr>
      <w:r w:rsidRPr="00A14BBF">
        <w:rPr>
          <w:b/>
          <w:sz w:val="26"/>
          <w:szCs w:val="26"/>
        </w:rPr>
        <w:t xml:space="preserve">Dva </w:t>
      </w:r>
      <w:r w:rsidR="00781DE3" w:rsidRPr="00A14BBF">
        <w:rPr>
          <w:b/>
          <w:sz w:val="26"/>
          <w:szCs w:val="26"/>
        </w:rPr>
        <w:t xml:space="preserve">ze </w:t>
      </w:r>
      <w:r w:rsidRPr="00A14BBF">
        <w:rPr>
          <w:b/>
          <w:sz w:val="26"/>
          <w:szCs w:val="26"/>
        </w:rPr>
        <w:t>čtyř</w:t>
      </w:r>
      <w:r w:rsidR="00BF6028" w:rsidRPr="00A14BBF">
        <w:rPr>
          <w:b/>
          <w:sz w:val="26"/>
          <w:szCs w:val="26"/>
        </w:rPr>
        <w:t xml:space="preserve"> strategick</w:t>
      </w:r>
      <w:r w:rsidR="00781DE3" w:rsidRPr="00A14BBF">
        <w:rPr>
          <w:b/>
          <w:sz w:val="26"/>
          <w:szCs w:val="26"/>
        </w:rPr>
        <w:t xml:space="preserve">ých </w:t>
      </w:r>
      <w:r w:rsidR="00BF6028" w:rsidRPr="00A14BBF">
        <w:rPr>
          <w:b/>
          <w:sz w:val="26"/>
          <w:szCs w:val="26"/>
        </w:rPr>
        <w:t>cíl</w:t>
      </w:r>
      <w:r w:rsidR="00781DE3" w:rsidRPr="00A14BBF">
        <w:rPr>
          <w:b/>
          <w:sz w:val="26"/>
          <w:szCs w:val="26"/>
        </w:rPr>
        <w:t xml:space="preserve">ů </w:t>
      </w:r>
      <w:r w:rsidR="00BF6028" w:rsidRPr="00A14BBF">
        <w:rPr>
          <w:b/>
          <w:sz w:val="26"/>
          <w:szCs w:val="26"/>
        </w:rPr>
        <w:t>jsou úspěšně plněny</w:t>
      </w:r>
      <w:r w:rsidR="00781DE3" w:rsidRPr="00A14BBF">
        <w:rPr>
          <w:b/>
          <w:sz w:val="26"/>
          <w:szCs w:val="26"/>
        </w:rPr>
        <w:t xml:space="preserve"> a </w:t>
      </w:r>
      <w:r w:rsidRPr="00A14BBF">
        <w:rPr>
          <w:b/>
          <w:sz w:val="26"/>
          <w:szCs w:val="26"/>
        </w:rPr>
        <w:t xml:space="preserve">dva </w:t>
      </w:r>
      <w:r w:rsidR="00781DE3" w:rsidRPr="00A14BBF">
        <w:rPr>
          <w:b/>
          <w:sz w:val="26"/>
          <w:szCs w:val="26"/>
        </w:rPr>
        <w:t>částečně</w:t>
      </w:r>
      <w:r w:rsidR="00BF6028" w:rsidRPr="00A14BBF">
        <w:rPr>
          <w:sz w:val="26"/>
          <w:szCs w:val="26"/>
        </w:rPr>
        <w:t>.</w:t>
      </w:r>
    </w:p>
    <w:p w:rsidR="00BF6028" w:rsidRPr="00A14BBF" w:rsidRDefault="008C12E6" w:rsidP="00E81BE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</w:pPr>
      <w:r w:rsidRPr="00A14BBF">
        <w:t xml:space="preserve">Jeden </w:t>
      </w:r>
      <w:r w:rsidRPr="00A14BBF">
        <w:rPr>
          <w:b/>
        </w:rPr>
        <w:t xml:space="preserve">strategický cíl </w:t>
      </w:r>
      <w:r w:rsidR="00C53484" w:rsidRPr="00A14BBF">
        <w:rPr>
          <w:b/>
          <w:i/>
        </w:rPr>
        <w:t>„</w:t>
      </w:r>
      <w:r w:rsidR="00C53484" w:rsidRPr="00A14BBF">
        <w:rPr>
          <w:b/>
          <w:i/>
          <w:szCs w:val="24"/>
        </w:rPr>
        <w:t>Předcházení vzniku odpadů a snižování měrné produkce odpadů</w:t>
      </w:r>
      <w:r w:rsidR="00C53484" w:rsidRPr="00A14BBF">
        <w:rPr>
          <w:i/>
          <w:szCs w:val="24"/>
        </w:rPr>
        <w:t>“</w:t>
      </w:r>
      <w:r w:rsidR="00C53484" w:rsidRPr="00A14BBF">
        <w:rPr>
          <w:szCs w:val="24"/>
        </w:rPr>
        <w:t xml:space="preserve"> </w:t>
      </w:r>
      <w:r w:rsidRPr="00A14BBF">
        <w:rPr>
          <w:b/>
        </w:rPr>
        <w:t>je</w:t>
      </w:r>
      <w:r w:rsidR="00C53484" w:rsidRPr="00A14BBF">
        <w:rPr>
          <w:b/>
        </w:rPr>
        <w:t> </w:t>
      </w:r>
      <w:r w:rsidRPr="00A14BBF">
        <w:rPr>
          <w:b/>
        </w:rPr>
        <w:t>plněn částečně</w:t>
      </w:r>
      <w:r w:rsidRPr="00A14BBF">
        <w:t xml:space="preserve">, protože </w:t>
      </w:r>
      <w:r w:rsidR="00695E84" w:rsidRPr="00A14BBF">
        <w:t>p</w:t>
      </w:r>
      <w:r w:rsidR="00695E84" w:rsidRPr="00A14BBF">
        <w:rPr>
          <w:szCs w:val="24"/>
        </w:rPr>
        <w:t>rodukce všech odpadů, odpadů ostatních i</w:t>
      </w:r>
      <w:r w:rsidR="00000F95" w:rsidRPr="00A14BBF">
        <w:rPr>
          <w:szCs w:val="24"/>
        </w:rPr>
        <w:t> </w:t>
      </w:r>
      <w:r w:rsidR="00695E84" w:rsidRPr="00A14BBF">
        <w:rPr>
          <w:szCs w:val="24"/>
        </w:rPr>
        <w:t xml:space="preserve">nebezpečných vzrostla. Mírně </w:t>
      </w:r>
      <w:r w:rsidR="00AB0988" w:rsidRPr="00A14BBF">
        <w:rPr>
          <w:szCs w:val="24"/>
        </w:rPr>
        <w:t>klesla</w:t>
      </w:r>
      <w:r w:rsidR="00695E84" w:rsidRPr="00A14BBF">
        <w:rPr>
          <w:szCs w:val="24"/>
        </w:rPr>
        <w:t xml:space="preserve"> produkce komunálních odpadů</w:t>
      </w:r>
      <w:r w:rsidR="00274ADD" w:rsidRPr="00A14BBF">
        <w:rPr>
          <w:szCs w:val="24"/>
        </w:rPr>
        <w:t>, s</w:t>
      </w:r>
      <w:r w:rsidR="00274ADD" w:rsidRPr="00A14BBF">
        <w:t>třednědobě se ovšem produkce komunálních odpadů zvyšuje. Tento meziroční pokles může indikovat otočení dosavadního trendu nárůstu měrné produkce komunálních odpadů, zatím ovšem nelze</w:t>
      </w:r>
      <w:r w:rsidR="009B68FF" w:rsidRPr="00A14BBF">
        <w:t xml:space="preserve"> stav </w:t>
      </w:r>
      <w:r w:rsidR="00274ADD" w:rsidRPr="00A14BBF">
        <w:t>jednoznačně vyhodnotit</w:t>
      </w:r>
      <w:r w:rsidR="00990B22">
        <w:t xml:space="preserve"> (navíc rok 2020 byl již ovlivněn pandemií nemoci Covid-19)</w:t>
      </w:r>
      <w:r w:rsidR="00274ADD" w:rsidRPr="00A14BBF">
        <w:t>.</w:t>
      </w:r>
    </w:p>
    <w:p w:rsidR="00463AE6" w:rsidRPr="00A14BBF" w:rsidRDefault="008C12E6" w:rsidP="00336AE1">
      <w:pPr>
        <w:pStyle w:val="Odstavecseseznamem"/>
        <w:numPr>
          <w:ilvl w:val="0"/>
          <w:numId w:val="26"/>
        </w:numPr>
        <w:spacing w:after="240" w:line="276" w:lineRule="auto"/>
        <w:ind w:left="714" w:hanging="357"/>
        <w:contextualSpacing w:val="0"/>
      </w:pPr>
      <w:r w:rsidRPr="00A14BBF">
        <w:t xml:space="preserve">Druhý </w:t>
      </w:r>
      <w:r w:rsidRPr="00A14BBF">
        <w:rPr>
          <w:b/>
        </w:rPr>
        <w:t xml:space="preserve">strategický cíl </w:t>
      </w:r>
      <w:r w:rsidR="003663AB" w:rsidRPr="00A14BBF">
        <w:rPr>
          <w:b/>
          <w:i/>
        </w:rPr>
        <w:t>„</w:t>
      </w:r>
      <w:r w:rsidR="003663AB" w:rsidRPr="00A14BBF">
        <w:rPr>
          <w:b/>
          <w:i/>
          <w:szCs w:val="24"/>
        </w:rPr>
        <w:t>Maximální využívání odpadů jako náhrady primárních zdrojů a</w:t>
      </w:r>
      <w:r w:rsidR="00D05537" w:rsidRPr="00A14BBF">
        <w:rPr>
          <w:b/>
          <w:i/>
          <w:szCs w:val="24"/>
        </w:rPr>
        <w:t> </w:t>
      </w:r>
      <w:r w:rsidR="003663AB" w:rsidRPr="00A14BBF">
        <w:rPr>
          <w:b/>
          <w:i/>
          <w:szCs w:val="24"/>
        </w:rPr>
        <w:t>přechod na oběhové hospodářství“</w:t>
      </w:r>
      <w:r w:rsidR="003663AB" w:rsidRPr="00A14BBF">
        <w:rPr>
          <w:b/>
        </w:rPr>
        <w:t xml:space="preserve"> </w:t>
      </w:r>
      <w:r w:rsidRPr="00A14BBF">
        <w:rPr>
          <w:b/>
        </w:rPr>
        <w:t>je plněn částe</w:t>
      </w:r>
      <w:r w:rsidRPr="00A14BBF">
        <w:rPr>
          <w:b/>
        </w:rPr>
        <w:t>čně</w:t>
      </w:r>
      <w:r w:rsidRPr="00A14BBF">
        <w:t>. Přestože v</w:t>
      </w:r>
      <w:r w:rsidRPr="00A14BBF">
        <w:rPr>
          <w:szCs w:val="24"/>
        </w:rPr>
        <w:t xml:space="preserve"> nakládání s</w:t>
      </w:r>
      <w:r w:rsidR="000466DB" w:rsidRPr="00A14BBF">
        <w:rPr>
          <w:szCs w:val="24"/>
        </w:rPr>
        <w:t> </w:t>
      </w:r>
      <w:r w:rsidRPr="00A14BBF">
        <w:rPr>
          <w:szCs w:val="24"/>
        </w:rPr>
        <w:t xml:space="preserve">odpady </w:t>
      </w:r>
      <w:r w:rsidR="00A4021E" w:rsidRPr="00A14BBF">
        <w:rPr>
          <w:szCs w:val="24"/>
        </w:rPr>
        <w:t xml:space="preserve">dominuje </w:t>
      </w:r>
      <w:r w:rsidRPr="00A14BBF">
        <w:rPr>
          <w:szCs w:val="24"/>
        </w:rPr>
        <w:t>materiálové využití odpadů</w:t>
      </w:r>
      <w:r w:rsidR="00A4021E" w:rsidRPr="00A14BBF">
        <w:rPr>
          <w:szCs w:val="24"/>
        </w:rPr>
        <w:t xml:space="preserve">, jeho podíl </w:t>
      </w:r>
      <w:r w:rsidR="00A4021E" w:rsidRPr="00A14BBF">
        <w:t>střednědobě i krátkodobě roste</w:t>
      </w:r>
      <w:r w:rsidR="00D94AA5" w:rsidRPr="00A14BBF">
        <w:t xml:space="preserve"> a v roce 2020 </w:t>
      </w:r>
      <w:r w:rsidRPr="00A14BBF">
        <w:rPr>
          <w:szCs w:val="24"/>
        </w:rPr>
        <w:t>p</w:t>
      </w:r>
      <w:r w:rsidRPr="00A14BBF">
        <w:t>odíl materiálového využití odpadů na celkové produkci opět vzrostl o</w:t>
      </w:r>
      <w:r w:rsidR="00D94AA5" w:rsidRPr="00A14BBF">
        <w:t> 1</w:t>
      </w:r>
      <w:r w:rsidRPr="00A14BBF">
        <w:t>,</w:t>
      </w:r>
      <w:r w:rsidR="00D94AA5" w:rsidRPr="00A14BBF">
        <w:t>4 </w:t>
      </w:r>
      <w:r w:rsidRPr="00A14BBF">
        <w:t>% na 8</w:t>
      </w:r>
      <w:r w:rsidR="00D94AA5" w:rsidRPr="00A14BBF">
        <w:t>6</w:t>
      </w:r>
      <w:r w:rsidRPr="00A14BBF">
        <w:t>,</w:t>
      </w:r>
      <w:r w:rsidR="00D94AA5" w:rsidRPr="00A14BBF">
        <w:t>2</w:t>
      </w:r>
      <w:r w:rsidRPr="00A14BBF">
        <w:t xml:space="preserve"> % v roce 20</w:t>
      </w:r>
      <w:r w:rsidR="00D94AA5" w:rsidRPr="00A14BBF">
        <w:t>20</w:t>
      </w:r>
      <w:r w:rsidRPr="00A14BBF">
        <w:t>,</w:t>
      </w:r>
      <w:r w:rsidR="00D94AA5" w:rsidRPr="00A14BBF">
        <w:t xml:space="preserve"> kdy množství materiálově využitých odpadů </w:t>
      </w:r>
      <w:r w:rsidR="009A5749" w:rsidRPr="00A14BBF">
        <w:t>vzrostlo</w:t>
      </w:r>
      <w:r w:rsidR="00686F6B">
        <w:t>,</w:t>
      </w:r>
      <w:r w:rsidR="00D94AA5" w:rsidRPr="00A14BBF">
        <w:t xml:space="preserve"> a</w:t>
      </w:r>
      <w:r w:rsidR="00000F95" w:rsidRPr="00A14BBF">
        <w:t> </w:t>
      </w:r>
      <w:r w:rsidR="00D94AA5" w:rsidRPr="00A14BBF">
        <w:t xml:space="preserve">to až o 1 504 tis. t. To se daří díky změnám v </w:t>
      </w:r>
      <w:r w:rsidR="00A4021E" w:rsidRPr="00A14BBF">
        <w:t>technologiích zpracování odpadů a</w:t>
      </w:r>
      <w:r w:rsidR="00000F95" w:rsidRPr="00A14BBF">
        <w:t> </w:t>
      </w:r>
      <w:r w:rsidR="00A4021E" w:rsidRPr="00A14BBF">
        <w:t>větší</w:t>
      </w:r>
      <w:r w:rsidR="00D94AA5" w:rsidRPr="00A14BBF">
        <w:t>mu</w:t>
      </w:r>
      <w:r w:rsidR="00A4021E" w:rsidRPr="00A14BBF">
        <w:t xml:space="preserve"> používání odpadů k náhradě primárních surovin.  Přispívá k tomu také </w:t>
      </w:r>
      <w:r w:rsidR="00A4021E" w:rsidRPr="00A14BBF">
        <w:lastRenderedPageBreak/>
        <w:t xml:space="preserve">finanční podpora zařízení pro </w:t>
      </w:r>
      <w:r w:rsidR="00D94AA5" w:rsidRPr="00A14BBF">
        <w:t xml:space="preserve">materiálové </w:t>
      </w:r>
      <w:r w:rsidR="00A4021E" w:rsidRPr="00A14BBF">
        <w:t>využití odpadů z Operačního programu Životní prostředí</w:t>
      </w:r>
      <w:r w:rsidR="00D94AA5" w:rsidRPr="00A14BBF">
        <w:t>. P</w:t>
      </w:r>
      <w:r w:rsidRPr="00A14BBF">
        <w:t xml:space="preserve">roblémem </w:t>
      </w:r>
      <w:r w:rsidR="00D94AA5" w:rsidRPr="00A14BBF">
        <w:t xml:space="preserve">však </w:t>
      </w:r>
      <w:r w:rsidRPr="00A14BBF">
        <w:t xml:space="preserve">zůstává stále vysoká míra skládkování komunálních odpadů. Aktuální situace v oblasti nakládání s komunálními odpady v ČR není vyhovující, </w:t>
      </w:r>
      <w:r w:rsidR="00784BE7" w:rsidRPr="00A14BBF">
        <w:t xml:space="preserve">47,8 % </w:t>
      </w:r>
      <w:r w:rsidRPr="00A14BBF">
        <w:t>jich je uloženo na skládky. Cílem pro další období je</w:t>
      </w:r>
      <w:r w:rsidR="007176F3" w:rsidRPr="00A14BBF">
        <w:t> </w:t>
      </w:r>
      <w:r w:rsidRPr="00A14BBF">
        <w:t>razantnější sn</w:t>
      </w:r>
      <w:r w:rsidRPr="00A14BBF">
        <w:t xml:space="preserve">ižování podílu skládkování komunálních odpadů a zvyšování jejich materiálového a rovněž energetického využití, a to v souladu s principy oběhového hospodářství a s potřebou naplnění evropských cílů oběhového hospodářství. Za tímto účelem </w:t>
      </w:r>
      <w:r w:rsidR="009B68FF" w:rsidRPr="00A14BBF">
        <w:t xml:space="preserve">byla v roce 2020 </w:t>
      </w:r>
      <w:r w:rsidRPr="00A14BBF">
        <w:t>p</w:t>
      </w:r>
      <w:r w:rsidRPr="00A14BBF">
        <w:t>řipravena nová legislativa, včetně ekonomických nástrojů (</w:t>
      </w:r>
      <w:r w:rsidR="007176F3" w:rsidRPr="00A14BBF">
        <w:t xml:space="preserve">např. </w:t>
      </w:r>
      <w:r w:rsidRPr="00A14BBF">
        <w:t>poplatek za</w:t>
      </w:r>
      <w:r w:rsidR="007176F3" w:rsidRPr="00A14BBF">
        <w:t> </w:t>
      </w:r>
      <w:r w:rsidRPr="00A14BBF">
        <w:t>skládkování odpadu), která by měla posílit třídění komunálních odpadů a posunout odpadové hospodářství ČR k vyšší stupňům hierarchie nakládání s odpady.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1843"/>
      </w:tblGrid>
      <w:tr w:rsidR="007E5173" w:rsidTr="00400C8C">
        <w:trPr>
          <w:jc w:val="center"/>
        </w:trPr>
        <w:tc>
          <w:tcPr>
            <w:tcW w:w="4212" w:type="dxa"/>
            <w:vAlign w:val="center"/>
          </w:tcPr>
          <w:p w:rsidR="006405E0" w:rsidRPr="00A14BBF" w:rsidRDefault="008C12E6" w:rsidP="009D1CB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b/>
              </w:rPr>
              <w:t>Plnění strategických cílů P</w:t>
            </w:r>
            <w:r w:rsidRPr="00A14BBF">
              <w:rPr>
                <w:b/>
              </w:rPr>
              <w:t>OH ČR (201</w:t>
            </w:r>
            <w:r w:rsidR="009D1CB3" w:rsidRPr="00A14BBF">
              <w:rPr>
                <w:b/>
              </w:rPr>
              <w:t>8</w:t>
            </w:r>
            <w:r w:rsidRPr="00A14BBF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6405E0" w:rsidRPr="00A14BBF" w:rsidRDefault="008C12E6" w:rsidP="001D0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Počet</w:t>
            </w:r>
            <w:r w:rsidR="0055653A" w:rsidRPr="00A14BBF">
              <w:rPr>
                <w:b/>
              </w:rPr>
              <w:t xml:space="preserve"> (4)</w:t>
            </w:r>
          </w:p>
        </w:tc>
      </w:tr>
      <w:tr w:rsidR="007E5173" w:rsidTr="00400C8C">
        <w:trPr>
          <w:jc w:val="center"/>
        </w:trPr>
        <w:tc>
          <w:tcPr>
            <w:tcW w:w="4212" w:type="dxa"/>
            <w:vAlign w:val="center"/>
          </w:tcPr>
          <w:p w:rsidR="006405E0" w:rsidRPr="00A14BBF" w:rsidRDefault="008C12E6" w:rsidP="001D08F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>Cíl plněn</w:t>
            </w:r>
          </w:p>
        </w:tc>
        <w:tc>
          <w:tcPr>
            <w:tcW w:w="1843" w:type="dxa"/>
            <w:vAlign w:val="center"/>
          </w:tcPr>
          <w:p w:rsidR="006405E0" w:rsidRPr="00A14BBF" w:rsidRDefault="008C12E6" w:rsidP="00640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</w:t>
            </w:r>
          </w:p>
        </w:tc>
      </w:tr>
      <w:tr w:rsidR="007E5173" w:rsidTr="00400C8C">
        <w:trPr>
          <w:jc w:val="center"/>
        </w:trPr>
        <w:tc>
          <w:tcPr>
            <w:tcW w:w="4212" w:type="dxa"/>
            <w:vAlign w:val="center"/>
          </w:tcPr>
          <w:p w:rsidR="006405E0" w:rsidRPr="00A14BBF" w:rsidRDefault="008C12E6" w:rsidP="001D08F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>Cíl částečně plněn</w:t>
            </w:r>
          </w:p>
        </w:tc>
        <w:tc>
          <w:tcPr>
            <w:tcW w:w="1843" w:type="dxa"/>
            <w:vAlign w:val="center"/>
          </w:tcPr>
          <w:p w:rsidR="006405E0" w:rsidRPr="00A14BBF" w:rsidRDefault="008C12E6" w:rsidP="00640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2</w:t>
            </w:r>
          </w:p>
        </w:tc>
      </w:tr>
    </w:tbl>
    <w:p w:rsidR="006405E0" w:rsidRPr="00A14BBF" w:rsidRDefault="006405E0" w:rsidP="004C05CF">
      <w:pPr>
        <w:spacing w:after="240" w:line="276" w:lineRule="auto"/>
        <w:ind w:left="425"/>
      </w:pPr>
    </w:p>
    <w:p w:rsidR="00BB624F" w:rsidRPr="00A14BBF" w:rsidRDefault="008C12E6" w:rsidP="00336AE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363" w:hanging="357"/>
        <w:contextualSpacing w:val="0"/>
      </w:pPr>
      <w:r w:rsidRPr="00A14BBF">
        <w:rPr>
          <w:b/>
          <w:sz w:val="26"/>
          <w:szCs w:val="26"/>
        </w:rPr>
        <w:t>Z</w:t>
      </w:r>
      <w:r w:rsidR="00BD40AF" w:rsidRPr="00A14BBF">
        <w:rPr>
          <w:b/>
          <w:sz w:val="26"/>
          <w:szCs w:val="26"/>
        </w:rPr>
        <w:t xml:space="preserve"> 23 </w:t>
      </w:r>
      <w:r w:rsidRPr="00A14BBF">
        <w:rPr>
          <w:b/>
          <w:sz w:val="26"/>
          <w:szCs w:val="26"/>
        </w:rPr>
        <w:t xml:space="preserve">hlavních cílů je </w:t>
      </w:r>
      <w:r w:rsidR="00656836" w:rsidRPr="00A14BBF">
        <w:rPr>
          <w:b/>
          <w:sz w:val="26"/>
          <w:szCs w:val="26"/>
        </w:rPr>
        <w:t>1</w:t>
      </w:r>
      <w:r w:rsidR="00776038">
        <w:rPr>
          <w:b/>
          <w:sz w:val="26"/>
          <w:szCs w:val="26"/>
        </w:rPr>
        <w:t>5</w:t>
      </w:r>
      <w:r w:rsidR="00656836" w:rsidRPr="00A14BBF">
        <w:rPr>
          <w:b/>
          <w:sz w:val="26"/>
          <w:szCs w:val="26"/>
        </w:rPr>
        <w:t xml:space="preserve"> </w:t>
      </w:r>
      <w:r w:rsidRPr="00A14BBF">
        <w:rPr>
          <w:b/>
          <w:sz w:val="26"/>
          <w:szCs w:val="26"/>
        </w:rPr>
        <w:t>plněno</w:t>
      </w:r>
      <w:r w:rsidR="00BD40AF" w:rsidRPr="00A14BBF">
        <w:rPr>
          <w:b/>
          <w:sz w:val="26"/>
          <w:szCs w:val="26"/>
        </w:rPr>
        <w:t xml:space="preserve"> a </w:t>
      </w:r>
      <w:r w:rsidR="00776038">
        <w:rPr>
          <w:b/>
          <w:sz w:val="26"/>
          <w:szCs w:val="26"/>
        </w:rPr>
        <w:t>7</w:t>
      </w:r>
      <w:r w:rsidRPr="00A14BBF">
        <w:rPr>
          <w:b/>
          <w:sz w:val="26"/>
          <w:szCs w:val="26"/>
        </w:rPr>
        <w:t xml:space="preserve"> plněno částečně</w:t>
      </w:r>
      <w:r w:rsidR="00656836" w:rsidRPr="00A14BBF">
        <w:rPr>
          <w:b/>
          <w:sz w:val="26"/>
          <w:szCs w:val="26"/>
        </w:rPr>
        <w:t xml:space="preserve"> a 1 není plněn</w:t>
      </w:r>
      <w:r w:rsidRPr="00A14BBF">
        <w:rPr>
          <w:b/>
          <w:sz w:val="26"/>
          <w:szCs w:val="26"/>
        </w:rPr>
        <w:t xml:space="preserve">. </w:t>
      </w:r>
    </w:p>
    <w:p w:rsidR="00035B1A" w:rsidRPr="00A14BBF" w:rsidRDefault="008C12E6" w:rsidP="00CA228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363" w:hanging="357"/>
        <w:contextualSpacing w:val="0"/>
      </w:pPr>
      <w:r>
        <w:t>Není plněn</w:t>
      </w:r>
      <w:r w:rsidR="003D0BA2" w:rsidRPr="00A14BBF">
        <w:t xml:space="preserve"> cíl </w:t>
      </w:r>
      <w:r w:rsidR="003D0BA2" w:rsidRPr="00A14BBF">
        <w:rPr>
          <w:i/>
        </w:rPr>
        <w:t>„</w:t>
      </w:r>
      <w:r w:rsidRPr="00A14BBF">
        <w:rPr>
          <w:b/>
          <w:i/>
        </w:rPr>
        <w:t>Snižovat měrnou produkci nebezpečných odpadů</w:t>
      </w:r>
      <w:r w:rsidR="003D0BA2" w:rsidRPr="00A14BBF">
        <w:rPr>
          <w:rFonts w:cstheme="minorHAnsi"/>
          <w:i/>
        </w:rPr>
        <w:t xml:space="preserve">“. </w:t>
      </w:r>
      <w:r w:rsidRPr="00A14BBF">
        <w:rPr>
          <w:rFonts w:cstheme="minorHAnsi"/>
        </w:rPr>
        <w:t xml:space="preserve">Snižovat produkci nebezpečných odpadů a zvyšovat jejich </w:t>
      </w:r>
      <w:r w:rsidRPr="00A14BBF">
        <w:rPr>
          <w:rFonts w:cstheme="minorHAnsi"/>
        </w:rPr>
        <w:t>materiálové využití se i</w:t>
      </w:r>
      <w:r w:rsidR="003D0BA2" w:rsidRPr="00A14BBF">
        <w:rPr>
          <w:rFonts w:cstheme="minorHAnsi"/>
          <w:i/>
        </w:rPr>
        <w:t xml:space="preserve"> </w:t>
      </w:r>
      <w:r w:rsidR="003D0BA2" w:rsidRPr="00A14BBF">
        <w:rPr>
          <w:rFonts w:cstheme="minorHAnsi"/>
        </w:rPr>
        <w:t xml:space="preserve">přes podporu </w:t>
      </w:r>
      <w:r w:rsidRPr="00A14BBF">
        <w:rPr>
          <w:rFonts w:cstheme="minorHAnsi"/>
        </w:rPr>
        <w:t xml:space="preserve">modernizace technologií, předcházení vzniku odpadů a </w:t>
      </w:r>
      <w:r w:rsidR="003D0BA2" w:rsidRPr="00A14BBF">
        <w:rPr>
          <w:rFonts w:cstheme="minorHAnsi"/>
        </w:rPr>
        <w:t>zvyšování správného nakládání s nebezpečnými odpady např.</w:t>
      </w:r>
      <w:r w:rsidR="00D37DD5" w:rsidRPr="00A14BBF">
        <w:rPr>
          <w:rFonts w:cstheme="minorHAnsi"/>
        </w:rPr>
        <w:t> </w:t>
      </w:r>
      <w:r w:rsidR="003D0BA2" w:rsidRPr="00A14BBF">
        <w:rPr>
          <w:rFonts w:cstheme="minorHAnsi"/>
        </w:rPr>
        <w:t xml:space="preserve">z OPŽP a přes přijatá legislativní opatření nedaří. </w:t>
      </w:r>
      <w:r w:rsidRPr="00A14BBF">
        <w:rPr>
          <w:rFonts w:cstheme="minorHAnsi"/>
        </w:rPr>
        <w:t>Meziročně se produkce nebezpečných odpadů připadající n</w:t>
      </w:r>
      <w:r w:rsidRPr="00A14BBF">
        <w:rPr>
          <w:rFonts w:cstheme="minorHAnsi"/>
        </w:rPr>
        <w:t>a obyvatele opě</w:t>
      </w:r>
      <w:r w:rsidR="00336AE1" w:rsidRPr="00A14BBF">
        <w:rPr>
          <w:rFonts w:cstheme="minorHAnsi"/>
        </w:rPr>
        <w:t>t</w:t>
      </w:r>
      <w:r w:rsidRPr="00A14BBF">
        <w:rPr>
          <w:rFonts w:cstheme="minorHAnsi"/>
        </w:rPr>
        <w:t xml:space="preserve"> zvýšila a to o</w:t>
      </w:r>
      <w:r w:rsidR="00336AE1" w:rsidRPr="00A14BBF">
        <w:rPr>
          <w:rFonts w:cstheme="minorHAnsi"/>
        </w:rPr>
        <w:t> </w:t>
      </w:r>
      <w:r w:rsidRPr="00A14BBF">
        <w:rPr>
          <w:rFonts w:cstheme="minorHAnsi"/>
        </w:rPr>
        <w:t>1,7</w:t>
      </w:r>
      <w:r w:rsidR="00336AE1" w:rsidRPr="00A14BBF">
        <w:rPr>
          <w:rFonts w:cstheme="minorHAnsi"/>
        </w:rPr>
        <w:t> </w:t>
      </w:r>
      <w:r w:rsidRPr="00A14BBF">
        <w:rPr>
          <w:rFonts w:cstheme="minorHAnsi"/>
        </w:rPr>
        <w:t>kg.obyv.</w:t>
      </w:r>
      <w:r w:rsidRPr="00A14BBF">
        <w:rPr>
          <w:rFonts w:cstheme="minorHAnsi"/>
          <w:vertAlign w:val="superscript"/>
        </w:rPr>
        <w:t>-1</w:t>
      </w:r>
      <w:r w:rsidRPr="00A14BBF">
        <w:rPr>
          <w:rFonts w:cstheme="minorHAnsi"/>
        </w:rPr>
        <w:t>, což je ovšem mnohem méně</w:t>
      </w:r>
      <w:r w:rsidR="0084160B" w:rsidRPr="00A14BBF">
        <w:rPr>
          <w:rFonts w:cstheme="minorHAnsi"/>
        </w:rPr>
        <w:t xml:space="preserve"> </w:t>
      </w:r>
      <w:r w:rsidRPr="00A14BBF">
        <w:rPr>
          <w:rFonts w:cstheme="minorHAnsi"/>
        </w:rPr>
        <w:t>než v předchozím dvouletém období</w:t>
      </w:r>
      <w:r w:rsidR="001905EA" w:rsidRPr="00A14BBF">
        <w:rPr>
          <w:rFonts w:cstheme="minorHAnsi"/>
        </w:rPr>
        <w:t>,</w:t>
      </w:r>
      <w:r w:rsidRPr="00A14BBF">
        <w:rPr>
          <w:rFonts w:cstheme="minorHAnsi"/>
        </w:rPr>
        <w:t xml:space="preserve"> kdy nárůst byl až o</w:t>
      </w:r>
      <w:r w:rsidR="00686F6B">
        <w:rPr>
          <w:rFonts w:cstheme="minorHAnsi"/>
        </w:rPr>
        <w:t> </w:t>
      </w:r>
      <w:r w:rsidRPr="00A14BBF">
        <w:rPr>
          <w:rFonts w:cstheme="minorHAnsi"/>
        </w:rPr>
        <w:t>24 kg.obyv.</w:t>
      </w:r>
      <w:r w:rsidRPr="00A14BBF">
        <w:rPr>
          <w:rFonts w:cstheme="minorHAnsi"/>
          <w:vertAlign w:val="superscript"/>
        </w:rPr>
        <w:t>-1</w:t>
      </w:r>
      <w:r w:rsidRPr="00A14BBF">
        <w:rPr>
          <w:rFonts w:cstheme="minorHAnsi"/>
        </w:rPr>
        <w:t xml:space="preserve">. </w:t>
      </w:r>
      <w:r w:rsidRPr="00A14BBF">
        <w:t>Meziročně také poklesl podíl materiálově využitých nebezpečných odpadů o 4 %, tedy o 64 tis. t. I přes tento mezi</w:t>
      </w:r>
      <w:r w:rsidRPr="00A14BBF">
        <w:t>roční pokles v posledních pěti letech množství materiálově využitých nebezpečných odpadů rostlo, proto je cíl hodnocen jako plněn částečně</w:t>
      </w:r>
      <w:r w:rsidR="00C410FD" w:rsidRPr="00A14BBF">
        <w:t>, ovšem j</w:t>
      </w:r>
      <w:r w:rsidRPr="00A14BBF">
        <w:t xml:space="preserve">e třeba </w:t>
      </w:r>
      <w:r w:rsidR="00C410FD" w:rsidRPr="00A14BBF">
        <w:t xml:space="preserve">stav dále </w:t>
      </w:r>
      <w:r w:rsidRPr="00A14BBF">
        <w:t>sledovat a vyhodnotit v dalších letech.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87"/>
        <w:gridCol w:w="2268"/>
      </w:tblGrid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1F5EC2" w:rsidRPr="00A14BBF" w:rsidRDefault="008C12E6" w:rsidP="009D1CB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b/>
              </w:rPr>
              <w:t xml:space="preserve">Plnění </w:t>
            </w:r>
            <w:r w:rsidR="008F2D37" w:rsidRPr="00A14BBF">
              <w:rPr>
                <w:b/>
              </w:rPr>
              <w:t xml:space="preserve">hlavních </w:t>
            </w:r>
            <w:r w:rsidRPr="00A14BBF">
              <w:rPr>
                <w:b/>
              </w:rPr>
              <w:t>cílů POH ČR (201</w:t>
            </w:r>
            <w:r w:rsidR="009D1CB3" w:rsidRPr="00A14BBF">
              <w:rPr>
                <w:b/>
              </w:rPr>
              <w:t>8</w:t>
            </w:r>
            <w:r w:rsidRPr="00A14BBF">
              <w:rPr>
                <w:b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1F5EC2" w:rsidRPr="00A14BBF" w:rsidRDefault="008C12E6" w:rsidP="00802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Počet (</w:t>
            </w:r>
            <w:r w:rsidR="008F2D37" w:rsidRPr="00A14BBF">
              <w:rPr>
                <w:b/>
              </w:rPr>
              <w:t>23</w:t>
            </w:r>
            <w:r w:rsidRPr="00A14BBF">
              <w:rPr>
                <w:b/>
              </w:rPr>
              <w:t>)</w:t>
            </w:r>
          </w:p>
        </w:tc>
      </w:tr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1F5EC2" w:rsidRPr="00A14BBF" w:rsidRDefault="008C12E6" w:rsidP="001D08F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>Cíl</w:t>
            </w:r>
            <w:r w:rsidRPr="00A14BBF">
              <w:rPr>
                <w:rFonts w:ascii="Calibri" w:hAnsi="Calibri"/>
                <w:b/>
                <w:szCs w:val="24"/>
              </w:rPr>
              <w:t xml:space="preserve"> plněn</w:t>
            </w:r>
          </w:p>
        </w:tc>
        <w:tc>
          <w:tcPr>
            <w:tcW w:w="2268" w:type="dxa"/>
            <w:vAlign w:val="center"/>
          </w:tcPr>
          <w:p w:rsidR="001F5EC2" w:rsidRPr="00A14BBF" w:rsidRDefault="008C12E6" w:rsidP="009A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</w:t>
            </w:r>
            <w:r w:rsidR="00F62F4E" w:rsidRPr="00A14BBF">
              <w:rPr>
                <w:b/>
              </w:rPr>
              <w:t>5</w:t>
            </w:r>
          </w:p>
        </w:tc>
      </w:tr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1F5EC2" w:rsidRPr="00A14BBF" w:rsidRDefault="008C12E6" w:rsidP="001D08F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>Cíl částečně plněn</w:t>
            </w:r>
          </w:p>
        </w:tc>
        <w:tc>
          <w:tcPr>
            <w:tcW w:w="2268" w:type="dxa"/>
            <w:vAlign w:val="center"/>
          </w:tcPr>
          <w:p w:rsidR="001F5EC2" w:rsidRPr="00A14BBF" w:rsidRDefault="008C12E6" w:rsidP="009A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7</w:t>
            </w:r>
          </w:p>
        </w:tc>
      </w:tr>
      <w:tr w:rsidR="007E5173" w:rsidTr="00E81BE7">
        <w:trPr>
          <w:jc w:val="center"/>
        </w:trPr>
        <w:tc>
          <w:tcPr>
            <w:tcW w:w="3787" w:type="dxa"/>
            <w:vAlign w:val="center"/>
          </w:tcPr>
          <w:p w:rsidR="001F5EC2" w:rsidRPr="00A14BBF" w:rsidRDefault="008C12E6" w:rsidP="001D08F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14BBF">
              <w:rPr>
                <w:rFonts w:ascii="Calibri" w:hAnsi="Calibri"/>
                <w:b/>
                <w:szCs w:val="24"/>
              </w:rPr>
              <w:t>Cíl není plněn</w:t>
            </w:r>
          </w:p>
        </w:tc>
        <w:tc>
          <w:tcPr>
            <w:tcW w:w="2268" w:type="dxa"/>
            <w:vAlign w:val="center"/>
          </w:tcPr>
          <w:p w:rsidR="001F5EC2" w:rsidRPr="00A14BBF" w:rsidRDefault="008C12E6" w:rsidP="001D0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14BBF">
              <w:rPr>
                <w:b/>
              </w:rPr>
              <w:t>1</w:t>
            </w:r>
          </w:p>
        </w:tc>
      </w:tr>
    </w:tbl>
    <w:p w:rsidR="007876F0" w:rsidRPr="00A14BBF" w:rsidRDefault="007876F0" w:rsidP="004C05CF">
      <w:pPr>
        <w:autoSpaceDE w:val="0"/>
        <w:autoSpaceDN w:val="0"/>
        <w:adjustRightInd w:val="0"/>
        <w:spacing w:after="240" w:line="276" w:lineRule="auto"/>
        <w:ind w:left="357"/>
        <w:rPr>
          <w:b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E5173" w:rsidTr="007876F0">
        <w:trPr>
          <w:trHeight w:val="1629"/>
        </w:trPr>
        <w:tc>
          <w:tcPr>
            <w:tcW w:w="9060" w:type="dxa"/>
            <w:shd w:val="clear" w:color="auto" w:fill="C2D69B" w:themeFill="accent3" w:themeFillTint="99"/>
            <w:vAlign w:val="center"/>
          </w:tcPr>
          <w:p w:rsidR="00C23949" w:rsidRPr="00E81BE7" w:rsidRDefault="008C12E6" w:rsidP="00010AAC">
            <w:pPr>
              <w:tabs>
                <w:tab w:val="left" w:pos="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1BE7">
              <w:rPr>
                <w:b/>
                <w:sz w:val="28"/>
                <w:szCs w:val="28"/>
              </w:rPr>
              <w:t>Z</w:t>
            </w:r>
            <w:r w:rsidR="0019733F">
              <w:rPr>
                <w:b/>
                <w:sz w:val="28"/>
                <w:szCs w:val="28"/>
              </w:rPr>
              <w:t> </w:t>
            </w:r>
            <w:r w:rsidR="00442AB0">
              <w:rPr>
                <w:b/>
                <w:sz w:val="28"/>
                <w:szCs w:val="28"/>
              </w:rPr>
              <w:t>3</w:t>
            </w:r>
            <w:r w:rsidR="0019733F">
              <w:rPr>
                <w:b/>
                <w:sz w:val="28"/>
                <w:szCs w:val="28"/>
              </w:rPr>
              <w:t xml:space="preserve">. </w:t>
            </w:r>
            <w:r w:rsidRPr="00E81BE7">
              <w:rPr>
                <w:b/>
                <w:sz w:val="28"/>
                <w:szCs w:val="28"/>
              </w:rPr>
              <w:t xml:space="preserve">Hodnotící zprávy </w:t>
            </w:r>
            <w:r w:rsidR="00C1329D" w:rsidRPr="00E81BE7">
              <w:rPr>
                <w:b/>
                <w:sz w:val="28"/>
                <w:szCs w:val="28"/>
              </w:rPr>
              <w:t>201</w:t>
            </w:r>
            <w:r w:rsidR="00C1329D">
              <w:rPr>
                <w:b/>
                <w:sz w:val="28"/>
                <w:szCs w:val="28"/>
              </w:rPr>
              <w:t>9–2020</w:t>
            </w:r>
            <w:r w:rsidRPr="00E81BE7">
              <w:rPr>
                <w:b/>
                <w:sz w:val="28"/>
                <w:szCs w:val="28"/>
              </w:rPr>
              <w:t xml:space="preserve"> vyplývá, že celkově je Plán odpadového hospodářství ČR 2015</w:t>
            </w:r>
            <w:r w:rsidR="00442AB0">
              <w:rPr>
                <w:b/>
                <w:sz w:val="28"/>
                <w:szCs w:val="28"/>
              </w:rPr>
              <w:t>-2024</w:t>
            </w:r>
            <w:r w:rsidRPr="00E81BE7">
              <w:rPr>
                <w:b/>
                <w:sz w:val="28"/>
                <w:szCs w:val="28"/>
              </w:rPr>
              <w:t xml:space="preserve"> plněn.</w:t>
            </w:r>
          </w:p>
        </w:tc>
      </w:tr>
    </w:tbl>
    <w:p w:rsidR="002C1D74" w:rsidRDefault="002C1D74" w:rsidP="002C1D74">
      <w:pPr>
        <w:tabs>
          <w:tab w:val="left" w:pos="912"/>
        </w:tabs>
        <w:autoSpaceDE w:val="0"/>
        <w:autoSpaceDN w:val="0"/>
        <w:adjustRightInd w:val="0"/>
        <w:spacing w:after="240" w:line="276" w:lineRule="auto"/>
        <w:rPr>
          <w:b/>
          <w:u w:val="single"/>
        </w:rPr>
      </w:pPr>
    </w:p>
    <w:p w:rsidR="00E56742" w:rsidRPr="00A14BBF" w:rsidRDefault="008C12E6" w:rsidP="00E56742">
      <w:pPr>
        <w:pStyle w:val="Nadpis1"/>
      </w:pPr>
      <w:bookmarkStart w:id="37" w:name="_Toc256000011"/>
      <w:r w:rsidRPr="00A14BBF">
        <w:lastRenderedPageBreak/>
        <w:t>Doporučení</w:t>
      </w:r>
      <w:bookmarkEnd w:id="37"/>
    </w:p>
    <w:p w:rsidR="00E56742" w:rsidRPr="00A14BBF" w:rsidRDefault="00E56742" w:rsidP="001B1DFC">
      <w:pPr>
        <w:tabs>
          <w:tab w:val="left" w:pos="912"/>
        </w:tabs>
        <w:autoSpaceDE w:val="0"/>
        <w:autoSpaceDN w:val="0"/>
        <w:adjustRightInd w:val="0"/>
        <w:spacing w:after="60" w:line="276" w:lineRule="auto"/>
        <w:rPr>
          <w:szCs w:val="24"/>
        </w:rPr>
      </w:pPr>
    </w:p>
    <w:p w:rsidR="00E310BB" w:rsidRPr="00A14BBF" w:rsidRDefault="008C12E6" w:rsidP="001B1DFC">
      <w:pPr>
        <w:tabs>
          <w:tab w:val="left" w:pos="912"/>
        </w:tabs>
        <w:autoSpaceDE w:val="0"/>
        <w:autoSpaceDN w:val="0"/>
        <w:adjustRightInd w:val="0"/>
        <w:spacing w:after="60" w:line="276" w:lineRule="auto"/>
        <w:rPr>
          <w:b/>
          <w:sz w:val="26"/>
          <w:szCs w:val="26"/>
          <w:u w:val="single"/>
        </w:rPr>
      </w:pPr>
      <w:r w:rsidRPr="00A14BBF">
        <w:rPr>
          <w:b/>
          <w:sz w:val="26"/>
          <w:szCs w:val="26"/>
          <w:u w:val="single"/>
        </w:rPr>
        <w:t xml:space="preserve">V dalším období je nutné se přednostně zaměřit na oblasti: </w:t>
      </w:r>
    </w:p>
    <w:p w:rsidR="001338F7" w:rsidRPr="00A14BBF" w:rsidRDefault="008C12E6" w:rsidP="00002307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  <w:contextualSpacing w:val="0"/>
      </w:pPr>
      <w:r w:rsidRPr="00A14BBF">
        <w:t>P</w:t>
      </w:r>
      <w:r w:rsidR="00E310BB" w:rsidRPr="00A14BBF">
        <w:t>ředcházení vznik</w:t>
      </w:r>
      <w:r w:rsidR="00656836" w:rsidRPr="00A14BBF">
        <w:t>u</w:t>
      </w:r>
      <w:r w:rsidR="00E310BB" w:rsidRPr="00A14BBF">
        <w:t xml:space="preserve"> </w:t>
      </w:r>
      <w:r w:rsidR="007C3F2D" w:rsidRPr="00A14BBF">
        <w:t xml:space="preserve">všech </w:t>
      </w:r>
      <w:r w:rsidR="00E310BB" w:rsidRPr="00A14BBF">
        <w:t>odpadů</w:t>
      </w:r>
      <w:r w:rsidR="005474A1" w:rsidRPr="00A14BBF">
        <w:t xml:space="preserve">, </w:t>
      </w:r>
      <w:r w:rsidR="007C3F2D" w:rsidRPr="00A14BBF">
        <w:t xml:space="preserve">zejména komunálních a </w:t>
      </w:r>
      <w:r w:rsidR="005474A1" w:rsidRPr="00A14BBF">
        <w:t>nebezpečných odpadů</w:t>
      </w:r>
      <w:r w:rsidR="00E81BE7" w:rsidRPr="00A14BBF">
        <w:t>.</w:t>
      </w:r>
      <w:r w:rsidR="00E310BB" w:rsidRPr="00A14BBF">
        <w:t xml:space="preserve"> </w:t>
      </w:r>
    </w:p>
    <w:p w:rsidR="00FE0148" w:rsidRPr="00A14BBF" w:rsidRDefault="008C12E6" w:rsidP="00002307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  <w:contextualSpacing w:val="0"/>
      </w:pPr>
      <w:r w:rsidRPr="00A14BBF">
        <w:t xml:space="preserve">Snižování produkce nebezpečných odpadů. </w:t>
      </w:r>
    </w:p>
    <w:p w:rsidR="00B92C64" w:rsidRPr="00A14BBF" w:rsidRDefault="008C12E6" w:rsidP="00B92C64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  <w:contextualSpacing w:val="0"/>
      </w:pPr>
      <w:r w:rsidRPr="00A14BBF">
        <w:t>S</w:t>
      </w:r>
      <w:r w:rsidR="00E310BB" w:rsidRPr="00A14BBF">
        <w:t xml:space="preserve">nižování produkce komunálních odpadů. </w:t>
      </w:r>
      <w:r w:rsidRPr="00A14BBF">
        <w:t>Snižování produkce zbytkového</w:t>
      </w:r>
      <w:r w:rsidR="002151D6">
        <w:t>,</w:t>
      </w:r>
      <w:r w:rsidR="00B37CE4" w:rsidRPr="00A14BBF">
        <w:t xml:space="preserve"> tj. </w:t>
      </w:r>
      <w:r w:rsidRPr="00A14BBF">
        <w:t xml:space="preserve">směsného komunálního odpadu. </w:t>
      </w:r>
    </w:p>
    <w:p w:rsidR="00B92C64" w:rsidRPr="00A14BBF" w:rsidRDefault="008C12E6" w:rsidP="00B92C64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  <w:contextualSpacing w:val="0"/>
      </w:pPr>
      <w:r w:rsidRPr="00A14BBF">
        <w:t>Zavádění a metodické usměrňování nové legislativy odpadovéh</w:t>
      </w:r>
      <w:r w:rsidRPr="00A14BBF">
        <w:t>o hospodářství, která přispěje ke zlepšení nakládání zejména s komunálními odpady.</w:t>
      </w:r>
    </w:p>
    <w:p w:rsidR="00B92C64" w:rsidRPr="00A14BBF" w:rsidRDefault="008C12E6" w:rsidP="00B92C64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  <w:contextualSpacing w:val="0"/>
      </w:pPr>
      <w:r w:rsidRPr="00A14BBF">
        <w:t>Zlepšení nakládání s komunálními odpady, zvýšení jejich materiálového využití.</w:t>
      </w:r>
    </w:p>
    <w:p w:rsidR="00B92C64" w:rsidRPr="00A14BBF" w:rsidRDefault="008C12E6" w:rsidP="00B92C64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  <w:contextualSpacing w:val="0"/>
      </w:pPr>
      <w:r w:rsidRPr="00A14BBF">
        <w:t>Výrazné omezování množství komunálních odpadů ukládaných na skládky.</w:t>
      </w:r>
    </w:p>
    <w:p w:rsidR="00E310BB" w:rsidRPr="00A14BBF" w:rsidRDefault="008C12E6" w:rsidP="00002307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  <w:contextualSpacing w:val="0"/>
      </w:pPr>
      <w:r w:rsidRPr="00A14BBF">
        <w:t xml:space="preserve">Zvýšení </w:t>
      </w:r>
      <w:r w:rsidR="00E56742" w:rsidRPr="00A14BBF">
        <w:t xml:space="preserve">materiálového </w:t>
      </w:r>
      <w:r w:rsidRPr="00A14BBF">
        <w:t>vyu</w:t>
      </w:r>
      <w:r w:rsidRPr="00A14BBF">
        <w:t>žití</w:t>
      </w:r>
      <w:r w:rsidR="00D65157" w:rsidRPr="00A14BBF">
        <w:t xml:space="preserve"> </w:t>
      </w:r>
      <w:r w:rsidRPr="00A14BBF">
        <w:t>biologicky rozložitelný</w:t>
      </w:r>
      <w:r w:rsidR="00D65157" w:rsidRPr="00A14BBF">
        <w:t>ch</w:t>
      </w:r>
      <w:r w:rsidRPr="00A14BBF">
        <w:t xml:space="preserve"> komunální</w:t>
      </w:r>
      <w:r w:rsidR="00656836" w:rsidRPr="00A14BBF">
        <w:t>ch</w:t>
      </w:r>
      <w:r w:rsidRPr="00A14BBF">
        <w:t xml:space="preserve"> odpad</w:t>
      </w:r>
      <w:r w:rsidR="00D65157" w:rsidRPr="00A14BBF">
        <w:t>ů</w:t>
      </w:r>
      <w:r w:rsidRPr="00A14BBF">
        <w:t>.</w:t>
      </w:r>
    </w:p>
    <w:p w:rsidR="00B92C64" w:rsidRPr="00A14BBF" w:rsidRDefault="008C12E6" w:rsidP="00B92C64">
      <w:pPr>
        <w:pStyle w:val="Odstavecseseznamem"/>
        <w:numPr>
          <w:ilvl w:val="0"/>
          <w:numId w:val="28"/>
        </w:numPr>
        <w:tabs>
          <w:tab w:val="left" w:pos="912"/>
        </w:tabs>
        <w:autoSpaceDE w:val="0"/>
        <w:autoSpaceDN w:val="0"/>
        <w:adjustRightInd w:val="0"/>
        <w:spacing w:line="276" w:lineRule="auto"/>
        <w:ind w:left="425" w:hanging="357"/>
      </w:pPr>
      <w:r w:rsidRPr="00A14BBF">
        <w:t xml:space="preserve">Zvýšení materiálového využití nebezpečných odpadů. </w:t>
      </w:r>
    </w:p>
    <w:p w:rsidR="00B92C64" w:rsidRPr="00A14BBF" w:rsidRDefault="00B92C64" w:rsidP="00B92C64">
      <w:pPr>
        <w:tabs>
          <w:tab w:val="left" w:pos="912"/>
        </w:tabs>
        <w:autoSpaceDE w:val="0"/>
        <w:autoSpaceDN w:val="0"/>
        <w:adjustRightInd w:val="0"/>
        <w:spacing w:line="276" w:lineRule="auto"/>
        <w:ind w:left="68"/>
      </w:pPr>
    </w:p>
    <w:p w:rsidR="00A078C9" w:rsidRPr="00A14BBF" w:rsidRDefault="00A078C9" w:rsidP="00A078C9">
      <w:pPr>
        <w:tabs>
          <w:tab w:val="left" w:pos="912"/>
        </w:tabs>
        <w:autoSpaceDE w:val="0"/>
        <w:autoSpaceDN w:val="0"/>
        <w:adjustRightInd w:val="0"/>
        <w:spacing w:after="120" w:line="276" w:lineRule="auto"/>
      </w:pPr>
    </w:p>
    <w:p w:rsidR="00A078C9" w:rsidRPr="00A14BBF" w:rsidRDefault="008C12E6">
      <w:pPr>
        <w:spacing w:after="200" w:line="276" w:lineRule="auto"/>
        <w:jc w:val="left"/>
      </w:pPr>
      <w:r w:rsidRPr="00A14BBF">
        <w:br w:type="page"/>
      </w:r>
    </w:p>
    <w:p w:rsidR="00A078C9" w:rsidRPr="00A14BBF" w:rsidRDefault="008C12E6" w:rsidP="00A078C9">
      <w:pPr>
        <w:pStyle w:val="Nadpis1"/>
      </w:pPr>
      <w:bookmarkStart w:id="38" w:name="_Toc256000012"/>
      <w:r w:rsidRPr="00A14BBF">
        <w:lastRenderedPageBreak/>
        <w:t>Příloha</w:t>
      </w:r>
      <w:bookmarkEnd w:id="38"/>
    </w:p>
    <w:p w:rsidR="00A078C9" w:rsidRPr="00A078C9" w:rsidRDefault="00A078C9" w:rsidP="00A078C9"/>
    <w:p w:rsidR="00621446" w:rsidRDefault="008C12E6" w:rsidP="00A078C9">
      <w:pPr>
        <w:pStyle w:val="Nadpis20"/>
        <w:ind w:left="567"/>
      </w:pPr>
      <w:bookmarkStart w:id="39" w:name="_Toc256000013"/>
      <w:r>
        <w:t xml:space="preserve">Seznam projektů </w:t>
      </w:r>
      <w:r w:rsidR="00397A1E">
        <w:t>v odpadovém hospodářství</w:t>
      </w:r>
      <w:r w:rsidR="006663E4">
        <w:t xml:space="preserve"> </w:t>
      </w:r>
      <w:r w:rsidR="00C1329D">
        <w:t>2019–2020</w:t>
      </w:r>
      <w:bookmarkEnd w:id="39"/>
    </w:p>
    <w:p w:rsidR="00621446" w:rsidRDefault="00621446" w:rsidP="00621446">
      <w:pPr>
        <w:pStyle w:val="Odstavecseseznamem"/>
        <w:spacing w:after="60" w:line="276" w:lineRule="auto"/>
        <w:ind w:left="0"/>
        <w:contextualSpacing w:val="0"/>
        <w:jc w:val="center"/>
        <w:rPr>
          <w:rFonts w:cs="Tahoma"/>
          <w:b/>
          <w:szCs w:val="24"/>
        </w:rPr>
      </w:pPr>
    </w:p>
    <w:p w:rsidR="00621446" w:rsidRDefault="008C12E6" w:rsidP="007836D0">
      <w:pPr>
        <w:spacing w:after="60"/>
        <w:rPr>
          <w:b/>
        </w:rPr>
      </w:pPr>
      <w:r w:rsidRPr="00A14BBF">
        <w:rPr>
          <w:b/>
        </w:rPr>
        <w:t xml:space="preserve">Projekty zaměřené na odpadové hospodářství (předcházení vzniku odpadů, oběhové </w:t>
      </w:r>
      <w:r w:rsidRPr="00A14BBF">
        <w:rPr>
          <w:b/>
        </w:rPr>
        <w:t>hospodářství) podpořené</w:t>
      </w:r>
      <w:r w:rsidR="00625A58" w:rsidRPr="00A14BBF">
        <w:rPr>
          <w:b/>
        </w:rPr>
        <w:t xml:space="preserve"> a realizované v průběhu </w:t>
      </w:r>
      <w:r w:rsidRPr="00A14BBF">
        <w:rPr>
          <w:b/>
        </w:rPr>
        <w:t xml:space="preserve">z programů TAČR </w:t>
      </w:r>
      <w:r w:rsidR="00625A58" w:rsidRPr="00A14BBF">
        <w:rPr>
          <w:b/>
        </w:rPr>
        <w:t xml:space="preserve">v průběhu let </w:t>
      </w:r>
      <w:r w:rsidRPr="00A14BBF">
        <w:rPr>
          <w:b/>
        </w:rPr>
        <w:t>201</w:t>
      </w:r>
      <w:r w:rsidR="00625A58" w:rsidRPr="00A14BBF">
        <w:rPr>
          <w:b/>
        </w:rPr>
        <w:t>9</w:t>
      </w:r>
      <w:r w:rsidR="005555AF" w:rsidRPr="00A14BBF">
        <w:rPr>
          <w:b/>
        </w:rPr>
        <w:t xml:space="preserve"> a</w:t>
      </w:r>
      <w:r w:rsidR="00D25BAC" w:rsidRPr="00A14BBF">
        <w:rPr>
          <w:b/>
        </w:rPr>
        <w:t> </w:t>
      </w:r>
      <w:r w:rsidRPr="00A14BBF">
        <w:rPr>
          <w:b/>
        </w:rPr>
        <w:t>20</w:t>
      </w:r>
      <w:r w:rsidR="00625A58" w:rsidRPr="00A14BBF">
        <w:rPr>
          <w:b/>
        </w:rPr>
        <w:t>20</w:t>
      </w:r>
      <w:r w:rsidR="00E53F22">
        <w:rPr>
          <w:b/>
        </w:rPr>
        <w:t xml:space="preserve"> 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260"/>
        <w:gridCol w:w="3119"/>
        <w:gridCol w:w="1417"/>
      </w:tblGrid>
      <w:tr w:rsidR="007E5173" w:rsidTr="00BF398A">
        <w:trPr>
          <w:trHeight w:val="56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Kód projektu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Období řešení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TL01000071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Redukce plýtvání potravinami ve veřejném stravování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TL – Program na podporu aplikovaného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společenskovědního a humanitního výzkumu, experimentálního vývoje a inovací 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TL01000217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Obce v kruhu cirkulární ekonomiky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TL – Program na podporu aplikovaného společenskovědního a humanitního výzkumu, experimentálního vývoje a inovací 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TL01000305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Analýza potenciálu Jihomoravského kraje ve vztahu k oběhovému hospodářství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TL – Program na podporu aplikovaného společenskovědního a humanitního výzkumu, experimentálního vývoje a inovací 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TL01000317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Odpad zdrojem neboli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uplatnění nových metod výzkumu pro rozvoj cirkulární ekonomiky v ČR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TL – Program na podporu aplikovaného společenskovědního a humanitního výzkumu, experimentálního vývoje a inovací 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2018–2021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4" w:tooltip="Klikněte pro detail záznamu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TL02000092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Podpora pro-environmentálních vzorců chování a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incentivy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pro behaviorální změnu v produkci potravinových odpadů a plýtvání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5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TL – Program na podporu aplikovaného společenskovědního a humanitního výzkumu, experimentálního vývoje a inovací ÉTA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2019–2022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6" w:tooltip="Klikněte pro detail záznamu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TL02000</w:t>
              </w:r>
            </w:hyperlink>
            <w:r w:rsidRPr="003B2D0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Rolling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Waste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 Environmentální a behaviorální výzkum chování účastníků hudebních festivalů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7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 xml:space="preserve">TL – Program na podporu aplikovaného společenskovědního a humanitního výzkumu, experimentálního vývoje a inovací ÉTA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2020–2023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TH03010222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Systém pro vzdálené řízení, správu a kontrolu ekonomiky provozu vozových parků s prioritou v odpadovém hospodářství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2018–2021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TH02010206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Významná ekonomická a materiálová úspora při výstavbě liniových podzemních konstrukcí zahrnutím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popílku a druhotného odpadu do betonového ostění staveb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 xml:space="preserve">TH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TH03030408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Modulární technologie pro oddělené čištění šedé vody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TH02020949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Funkční rozvoj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bi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-systémového kapalinového filtru pro recyklaci procesních vod s použitím moderních metod modelování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TH03030080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Recyklace odpadních vod pro využití ve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vodním hospodářství měst budoucnosti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TH02030815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On-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site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termická dekontaminace nebezpečných tuhých odpadů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TH03020119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Materiálová transformace čistírenského kalu na hnojivo se zvýšeným obsahem fosforu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TH02030120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Termické zpracování zbytků po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suché fermentaci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TH02030649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Environmentálně efektivní stavební a demoliční odpad do konstrukcí (EESDOK)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TH – Program na podporu aplikovaného výzkumu a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TH03030388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Elektrochemické metody čištění odpadních vod z energetického využití odpadů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TH02020109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Vývoj jednotky pro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zahušťování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digestátu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z bioplynových stanic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TH02020110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Nové kompozitní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nanomateriály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na bázi recyklovatelného tuhého odpadu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TH – Program na podporu aplikovaného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TH02030412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POLYBET – Vývoj technologické linky pro materiálové využití odpadních termoplastů a stavebních recyklátů ve výrobě stavebních prvků z 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polymerbetonu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TH02030532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Nové postupy úpravy a stabilizace čistírenských kalů z malých komunálních zdrojů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TH03010454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Vývoj a inovace n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ových stavebních prvků ze zemědělské biomasy se zaměřením na předcházení vzniku a ekologické využití stavebních odpadů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20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7E5173" w:rsidTr="00BF398A">
              <w:trPr>
                <w:trHeight w:val="264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BAC" w:rsidRPr="003B2D08" w:rsidRDefault="008C12E6" w:rsidP="00BF398A">
                  <w:pPr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B2D0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TH02010268</w:t>
                  </w:r>
                </w:p>
              </w:tc>
            </w:tr>
          </w:tbl>
          <w:p w:rsidR="00D25BAC" w:rsidRPr="003B2D08" w:rsidRDefault="00D25BAC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Nové progresivní mobilní jednotky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 termickou degradaci odpadu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TH03030452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Hydrotermochemická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úprava bioodpadů na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biouhel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kombinovaná s odstraněním organických škodlivin a rizikových prvků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TH04020043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Inovativní technologie využití anorganických průmyslových odpadů nebo vedlejších produktů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TH – Program na podporu aplikovaného výzkumu a experimentálního vývoje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2019–2022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TH04030103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Komplexní řešení popílkového hospodářství pro zařízení na energetické využití odpadů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TH04030297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Inteligentní systém pro provoz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odpadového hospodářství v rámci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SmartCity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2019–2020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TH04030342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Recyklované stavební materiály pro stavby dopravní infrastruktury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TH – Program na podporu aplikovaného výzkumu a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experimentálního vývoje EPSILON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TH04030425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REIZO – Vývoj technologické linky pro recyklaci a materiálové využití odpadních izolačních materiálů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TH04020055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Výzkum a vývoj technologie recyklace zinkového odpadu při výrobě vysoce jakostních odlitků ze slitin zinku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 – Program na podporu aplikovaného výzkumu a experimentálního vývoje EPSILON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2019–2022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ConSlag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– výzkum a ověření stavebních aplikací s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vyšší přidanou hodnotou při využití ocelárenské strusky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Možnosti využití čistírenských kalů jako sekundárního zdroje fosforu v ČR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Výzkum odpadních termoplastů pro jejich následné využití ve výrobě stavebních hmot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Ekologické zpracování průmyslových odpadů hydrotermální cestou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TJ – Program na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Vývoj technologie stabilizace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digestátu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z výroby bioplynu pomocí degradabilní organické matrice pro účely strojní fertilizace půdy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Vývoj zařízení na rekuperaci odpadního tepla z extruze a lisování olejnin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TJ01000249</w:t>
            </w:r>
          </w:p>
          <w:p w:rsidR="00D25BAC" w:rsidRPr="003B2D08" w:rsidRDefault="00D25BAC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Vývoj víceúčelového extrakčního zařízení pro zpracování odpadů z vinařství na produkty s vysokou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přidanou hodnotou.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2018–2019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TJ01000320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Recyklace odpadních polykarbonátů a vývoj pokročilých termoplastických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blendů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 podílem polykarbonátů využitelných v primárních výrobních aplikacích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TJ – Program na </w:t>
            </w: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2018–2019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TJ02000116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Elektrochemické zpracování odpadních koncentrátů z membránových separací.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TJ02000196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Výzkum využití odpadů z ovocných stromů jako zdroje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cenných bioaktivních látek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TJ02000262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Zpracování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gastro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odpadu do podoby pevného uhlíkatého produktu k materiálovému využití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TJ02000266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Materiálové využití odpadních termoplastů při výrobě stavebních hmot pro účely stínění ionizujícího záření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TJ04000137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Využití drceného recyklátu z </w:t>
            </w: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vláknocementu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 technologii a komplex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ní analýza vlivu jeho přídavku do výrobní směsi na vlastnosti vláknocementových desek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2020–2022</w:t>
            </w:r>
          </w:p>
        </w:tc>
      </w:tr>
      <w:tr w:rsidR="007E5173" w:rsidTr="00BF398A">
        <w:trPr>
          <w:trHeight w:val="576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TJ04000208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Mobilní recyklační linka na zpracování stavebního odpadu z minerálních tepelně-izolačních </w:t>
            </w: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materiálů a využití recyklátu včetně možnosti přímé aplikace na stavbách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C" w:rsidRDefault="008C12E6" w:rsidP="00BF398A">
            <w:pPr>
              <w:jc w:val="left"/>
            </w:pPr>
            <w:r w:rsidRPr="000C214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– Program na podporu aplikovaného výzkumu ZÉTA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2020–2022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TN01000048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Biorafinace</w:t>
            </w:r>
            <w:proofErr w:type="spellEnd"/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jako oběhové technologie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TN – Program na podporu aplikovaného výzkumu, experimentálního vývoje a inovací Národního centra kompetence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2019–2022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TIRSMZP719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8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 xml:space="preserve">Prognózování produkce odpadů a </w:t>
              </w:r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stanovení složení komunálního odpadu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TI – Program veřejných zakázek v aplikovaném výzkumu a inovacích pro potřeby státní správy BETA2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2019–2021</w:t>
            </w:r>
          </w:p>
          <w:p w:rsidR="00D25BAC" w:rsidRPr="003B2D08" w:rsidRDefault="00D25BAC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9" w:tooltip="Klikněte pro detail záznamu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SS01020312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Inovativní technologie uzavřeného cyklu cirkulace vody v procesu galvanického pokovování a zpracování kovonosných odpadů – kalů a filtračních koláčů z provozu galvanovny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70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 xml:space="preserve">SS – Program aplikovaného výzkumu, experimentálního vývoje a inovací v oblasti životního prostředí – Prostředí pro život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2020–2022</w:t>
            </w: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SS01020524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71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Elektrochemický systém pro recyklaci průmyslového měděného kabelového odpadu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72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SS – Program aplikovaného výzkumu, experimentálního vývoje a inovací v oblasti životního prostředí – Prost</w:t>
              </w:r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 xml:space="preserve">ředí pro život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2020–2023</w:t>
            </w:r>
          </w:p>
          <w:p w:rsidR="00D25BAC" w:rsidRPr="003B2D08" w:rsidRDefault="00D25BAC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E5173" w:rsidTr="00BF398A">
        <w:trPr>
          <w:trHeight w:val="8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SS010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B7651D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765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Minimalizace dopadů nakládání se zdravotnickými odpady na zdraví a životní prostředí při zachování ekonomické udržitelnosti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C" w:rsidRPr="00B7651D" w:rsidRDefault="008C12E6" w:rsidP="00BF398A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73" w:history="1">
              <w:r w:rsidRPr="003B2D08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 xml:space="preserve">SS – Program aplikovaného výzkumu, experimentálního vývoje a inovací v oblasti životního prostředí – Prostředí pro život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AC" w:rsidRPr="003B2D08" w:rsidRDefault="008C12E6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2020–2023</w:t>
            </w:r>
          </w:p>
          <w:p w:rsidR="00D25BAC" w:rsidRPr="003B2D08" w:rsidRDefault="00D25BAC" w:rsidP="00BF398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119C6" w:rsidRDefault="008C12E6" w:rsidP="00633361">
      <w:pPr>
        <w:spacing w:before="60" w:line="276" w:lineRule="auto"/>
        <w:rPr>
          <w:rFonts w:cs="Tahoma"/>
          <w:i/>
          <w:sz w:val="20"/>
          <w:szCs w:val="20"/>
        </w:rPr>
      </w:pPr>
      <w:r w:rsidRPr="006914AA">
        <w:rPr>
          <w:rFonts w:cs="Tahoma"/>
          <w:i/>
          <w:sz w:val="20"/>
          <w:szCs w:val="20"/>
        </w:rPr>
        <w:t xml:space="preserve">Zdroj dat: </w:t>
      </w:r>
      <w:r w:rsidR="00D25BAC" w:rsidRPr="003B2D08">
        <w:rPr>
          <w:rFonts w:cstheme="minorHAnsi"/>
          <w:i/>
          <w:sz w:val="20"/>
          <w:szCs w:val="20"/>
        </w:rPr>
        <w:t xml:space="preserve">IS </w:t>
      </w:r>
      <w:proofErr w:type="spellStart"/>
      <w:r w:rsidR="00D25BAC" w:rsidRPr="003B2D08">
        <w:rPr>
          <w:rFonts w:cstheme="minorHAnsi"/>
          <w:i/>
          <w:sz w:val="20"/>
          <w:szCs w:val="20"/>
        </w:rPr>
        <w:t>VaVaI</w:t>
      </w:r>
      <w:proofErr w:type="spellEnd"/>
      <w:r w:rsidR="00D25BAC" w:rsidRPr="003B2D08">
        <w:rPr>
          <w:rFonts w:cstheme="minorHAnsi"/>
          <w:i/>
          <w:sz w:val="20"/>
          <w:szCs w:val="20"/>
        </w:rPr>
        <w:t>, 2021</w:t>
      </w:r>
    </w:p>
    <w:p w:rsidR="00621446" w:rsidRDefault="00621446" w:rsidP="005555AF">
      <w:pPr>
        <w:spacing w:after="120"/>
      </w:pPr>
    </w:p>
    <w:p w:rsidR="00BF398A" w:rsidRPr="00BF398A" w:rsidRDefault="008C12E6" w:rsidP="00BF398A">
      <w:pPr>
        <w:pStyle w:val="Odstavecseseznamem"/>
        <w:spacing w:after="60" w:line="276" w:lineRule="auto"/>
        <w:ind w:left="0"/>
        <w:contextualSpacing w:val="0"/>
        <w:rPr>
          <w:rFonts w:cs="Tahoma"/>
          <w:b/>
          <w:szCs w:val="24"/>
        </w:rPr>
      </w:pPr>
      <w:r w:rsidRPr="00BF398A">
        <w:rPr>
          <w:rFonts w:cs="Tahoma"/>
          <w:b/>
          <w:szCs w:val="24"/>
        </w:rPr>
        <w:t xml:space="preserve">Projekty zaměřené na odpadové hospodářství podpořené z programů TRIO a TREND probíhající v letech 2019 a 2020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75"/>
        <w:gridCol w:w="1265"/>
      </w:tblGrid>
      <w:tr w:rsidR="007E5173" w:rsidTr="00633361">
        <w:trPr>
          <w:trHeight w:val="73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>Číslo projektu</w:t>
            </w:r>
          </w:p>
        </w:tc>
        <w:tc>
          <w:tcPr>
            <w:tcW w:w="6375" w:type="dxa"/>
            <w:shd w:val="clear" w:color="auto" w:fill="D9D9D9" w:themeFill="background1" w:themeFillShade="D9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 xml:space="preserve">Období řešení 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FV10075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Nová technologie vícepodlažních energeticky úsporných budov z lepených sendvičových panelů </w:t>
            </w:r>
            <w:r w:rsidRPr="003B2D08">
              <w:rPr>
                <w:rFonts w:cstheme="minorHAnsi"/>
                <w:sz w:val="20"/>
                <w:szCs w:val="20"/>
              </w:rPr>
              <w:t>s možností zakládání na zemních vrutech s využitím technologie prefabrikovaných bytových jader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2016–2019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FV10022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Efektivní využití cihelného recyklátu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2016–2020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FV10118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Progresivní bezodpadová technologie zpětného využití zemin ve formě samozhutnitelných</w:t>
            </w:r>
            <w:r w:rsidRPr="003B2D08">
              <w:rPr>
                <w:rFonts w:cstheme="minorHAnsi"/>
                <w:sz w:val="20"/>
                <w:szCs w:val="20"/>
              </w:rPr>
              <w:t xml:space="preserve"> zálivek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2016–2020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lastRenderedPageBreak/>
              <w:t>FV10509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Výzkum a vývoj nových podlahových vsypů s obsahem recyklovaných surovin se zaručenými vlastnostmi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2016–2020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FV10284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Pokročilá technologie pískového pórobetonu s podílem druhotných surovin a efektivnějším využitím přírodních zdr</w:t>
            </w:r>
            <w:r w:rsidRPr="003B2D08">
              <w:rPr>
                <w:rFonts w:cstheme="minorHAnsi"/>
                <w:sz w:val="20"/>
                <w:szCs w:val="20"/>
              </w:rPr>
              <w:t>ojů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2016–2020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FV10304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Využití teplárenské strusky při výrobě betonového zboží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2016–2019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FV10239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Elektrostatická separace plastů z průmyslového odpadu pro následnou recyklaci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2016–2019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FV10685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Flexibilní stavební systém na bázi dřeva a vysokohodnotného </w:t>
            </w:r>
            <w:r w:rsidRPr="003B2D08">
              <w:rPr>
                <w:rFonts w:cstheme="minorHAnsi"/>
                <w:sz w:val="20"/>
                <w:szCs w:val="20"/>
              </w:rPr>
              <w:t>betonu pro energeticky efektivní bytové domy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2016–2020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FV10260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Vývoj kontinuálního procesu výroby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methylesterů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mastných kyselin (FAME) z odpadních tuků a odpadních rostlinných olejů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2016–2019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FV10226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Vývoj technologie pro recyklaci kovů ze strusky s </w:t>
            </w:r>
            <w:r w:rsidRPr="003B2D08">
              <w:rPr>
                <w:rFonts w:cstheme="minorHAnsi"/>
                <w:sz w:val="20"/>
                <w:szCs w:val="20"/>
              </w:rPr>
              <w:t>vysokou účinností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2016–2019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FV10239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Elektrostatická separace plastů z průmyslového odpadu pro následnou recyklaci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2016–2019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FV10397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RENCO Recyklovaný environmentální beton pro stavební konstrukce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2016–2020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FV20086</w:t>
            </w:r>
          </w:p>
          <w:p w:rsidR="00BF398A" w:rsidRPr="003B2D08" w:rsidRDefault="00BF398A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Vývoj lehkých novodobých stavebních </w:t>
            </w:r>
            <w:r w:rsidRPr="003B2D08">
              <w:rPr>
                <w:rFonts w:cstheme="minorHAnsi"/>
                <w:sz w:val="20"/>
                <w:szCs w:val="20"/>
                <w:lang w:eastAsia="cs-CZ"/>
              </w:rPr>
              <w:t>materiálů s využitím lehkého kameniva na bázi odpadní skleněné moučky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2017–2020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FV20303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Progresivní polymerní hmoty s využitím druhotných surovin a nebezpečných odpadů do chemicky silně agresivního prostředí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2017–2021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FV30072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Efektivní optimalizace využi</w:t>
            </w:r>
            <w:r w:rsidRPr="003B2D08">
              <w:rPr>
                <w:rFonts w:cstheme="minorHAnsi"/>
                <w:sz w:val="20"/>
                <w:szCs w:val="20"/>
                <w:lang w:eastAsia="cs-CZ"/>
              </w:rPr>
              <w:t>tí odpadu z produkce cementotřískových desek pro výrobu konkurenceschopných stavebnin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2018–2021</w:t>
            </w:r>
          </w:p>
        </w:tc>
      </w:tr>
      <w:tr w:rsidR="007E5173" w:rsidTr="00633361">
        <w:tc>
          <w:tcPr>
            <w:tcW w:w="1417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FV30119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Pokročilé sanační technologie v procesu regenerace odpadních mořicích lázní pro povrchové úpravy </w:t>
            </w:r>
            <w:proofErr w:type="spellStart"/>
            <w:r w:rsidRPr="003B2D08">
              <w:rPr>
                <w:rFonts w:cstheme="minorHAnsi"/>
                <w:sz w:val="20"/>
                <w:szCs w:val="20"/>
                <w:lang w:eastAsia="cs-CZ"/>
              </w:rPr>
              <w:t>vysocelegovaných</w:t>
            </w:r>
            <w:proofErr w:type="spellEnd"/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 ocelí a slitin.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2018–2021</w:t>
            </w:r>
          </w:p>
        </w:tc>
      </w:tr>
      <w:tr w:rsidR="007E5173" w:rsidTr="006333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FV30407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Recyklované </w:t>
            </w:r>
            <w:proofErr w:type="spellStart"/>
            <w:r w:rsidRPr="003B2D08">
              <w:rPr>
                <w:rFonts w:cstheme="minorHAnsi"/>
                <w:sz w:val="20"/>
                <w:szCs w:val="20"/>
                <w:lang w:eastAsia="cs-CZ"/>
              </w:rPr>
              <w:t>eko</w:t>
            </w:r>
            <w:proofErr w:type="spellEnd"/>
            <w:r w:rsidRPr="003B2D08">
              <w:rPr>
                <w:rFonts w:cstheme="minorHAnsi"/>
                <w:sz w:val="20"/>
                <w:szCs w:val="20"/>
                <w:lang w:eastAsia="cs-CZ"/>
              </w:rPr>
              <w:t>-tvarovky na bázi minerálních materiálů a plniv z vedlejších produktů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2018–2020</w:t>
            </w:r>
          </w:p>
        </w:tc>
      </w:tr>
      <w:tr w:rsidR="007E5173" w:rsidTr="006333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FV40329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Výzkum úpravy vstupních surovin, receptur a vlastností rekultivačních sanačních hmot vznikajících z odpadů, vedlejších produktů a druhotných surovin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2019–2021</w:t>
            </w:r>
          </w:p>
        </w:tc>
      </w:tr>
      <w:tr w:rsidR="007E5173" w:rsidTr="006333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FW01010158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Projekt výzkumu a vývoje technologie materiálového využití odpadních plastů a pneumatik v rafinérském a petrochemickém průmyslu v ČR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2020–2024</w:t>
            </w:r>
          </w:p>
        </w:tc>
      </w:tr>
      <w:tr w:rsidR="007E5173" w:rsidTr="006333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FW01010197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Vývoj a výzkum nových progresivních materiálů pro sanaci inženýrských sítí s vy</w:t>
            </w:r>
            <w:r w:rsidRPr="003B2D08">
              <w:rPr>
                <w:rFonts w:cstheme="minorHAnsi"/>
                <w:sz w:val="20"/>
                <w:szCs w:val="20"/>
                <w:lang w:eastAsia="cs-CZ"/>
              </w:rPr>
              <w:t>užitím druhotných surovin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2020–2024</w:t>
            </w:r>
          </w:p>
        </w:tc>
      </w:tr>
      <w:tr w:rsidR="007E5173" w:rsidTr="006333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FW01010395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Modulární automatizovaná úprava průmyslových vod pro jejich následnou recyklaci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2020–2023</w:t>
            </w:r>
          </w:p>
        </w:tc>
      </w:tr>
      <w:tr w:rsidR="007E5173" w:rsidTr="006333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FW01010563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proofErr w:type="spellStart"/>
            <w:r w:rsidRPr="003B2D08">
              <w:rPr>
                <w:rFonts w:cstheme="minorHAnsi"/>
                <w:sz w:val="20"/>
                <w:szCs w:val="20"/>
                <w:lang w:eastAsia="cs-CZ"/>
              </w:rPr>
              <w:t>Nanostrukturované</w:t>
            </w:r>
            <w:proofErr w:type="spellEnd"/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 katalyzátory pro pokročilé dekontaminační postupy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2020–2023</w:t>
            </w:r>
          </w:p>
        </w:tc>
      </w:tr>
      <w:tr w:rsidR="007E5173" w:rsidTr="006333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FW01010609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Vývoj </w:t>
            </w:r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technologie pro termomechanické čištění výmětů z </w:t>
            </w:r>
            <w:proofErr w:type="spellStart"/>
            <w:r w:rsidRPr="003B2D08">
              <w:rPr>
                <w:rFonts w:cstheme="minorHAnsi"/>
                <w:sz w:val="20"/>
                <w:szCs w:val="20"/>
                <w:lang w:eastAsia="cs-CZ"/>
              </w:rPr>
              <w:t>dotřiďovacích</w:t>
            </w:r>
            <w:proofErr w:type="spellEnd"/>
            <w:r w:rsidRPr="003B2D08">
              <w:rPr>
                <w:rFonts w:cstheme="minorHAnsi"/>
                <w:sz w:val="20"/>
                <w:szCs w:val="20"/>
                <w:lang w:eastAsia="cs-CZ"/>
              </w:rPr>
              <w:t xml:space="preserve"> linek plastových odpadů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A" w:rsidRPr="003B2D08" w:rsidRDefault="008C12E6" w:rsidP="00BF398A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  <w:lang w:eastAsia="cs-CZ"/>
              </w:rPr>
            </w:pPr>
            <w:r w:rsidRPr="003B2D08">
              <w:rPr>
                <w:rFonts w:cstheme="minorHAnsi"/>
                <w:sz w:val="20"/>
                <w:szCs w:val="20"/>
                <w:lang w:eastAsia="cs-CZ"/>
              </w:rPr>
              <w:t>2020–2022</w:t>
            </w:r>
          </w:p>
        </w:tc>
      </w:tr>
    </w:tbl>
    <w:p w:rsidR="00F634DD" w:rsidRPr="008C0513" w:rsidRDefault="008C12E6" w:rsidP="007836D0">
      <w:pPr>
        <w:spacing w:line="276" w:lineRule="auto"/>
        <w:rPr>
          <w:rFonts w:ascii="Calibri" w:hAnsi="Calibri" w:cs="Tahoma"/>
          <w:i/>
          <w:sz w:val="20"/>
          <w:szCs w:val="20"/>
        </w:rPr>
      </w:pPr>
      <w:r w:rsidRPr="008C0513">
        <w:rPr>
          <w:rFonts w:ascii="Calibri" w:hAnsi="Calibri" w:cs="Tahoma"/>
          <w:i/>
          <w:sz w:val="20"/>
          <w:szCs w:val="20"/>
        </w:rPr>
        <w:t xml:space="preserve">Zdroj dat: IS </w:t>
      </w:r>
      <w:proofErr w:type="spellStart"/>
      <w:r w:rsidRPr="008C0513">
        <w:rPr>
          <w:rFonts w:ascii="Calibri" w:hAnsi="Calibri" w:cs="Tahoma"/>
          <w:i/>
          <w:sz w:val="20"/>
          <w:szCs w:val="20"/>
        </w:rPr>
        <w:t>VaVaI</w:t>
      </w:r>
      <w:proofErr w:type="spellEnd"/>
    </w:p>
    <w:p w:rsidR="005555AF" w:rsidRPr="00E364DA" w:rsidRDefault="005555AF" w:rsidP="007836D0">
      <w:pPr>
        <w:spacing w:line="276" w:lineRule="auto"/>
      </w:pPr>
    </w:p>
    <w:p w:rsidR="00E364DA" w:rsidRPr="003B2D08" w:rsidRDefault="008C12E6" w:rsidP="00E364DA">
      <w:pPr>
        <w:pStyle w:val="Odstavecseseznamem"/>
        <w:spacing w:after="60" w:line="276" w:lineRule="auto"/>
        <w:ind w:left="0"/>
        <w:contextualSpacing w:val="0"/>
        <w:rPr>
          <w:rFonts w:cstheme="minorHAnsi"/>
          <w:b/>
          <w:szCs w:val="24"/>
        </w:rPr>
      </w:pPr>
      <w:r w:rsidRPr="003B2D08">
        <w:rPr>
          <w:rFonts w:cstheme="minorHAnsi"/>
          <w:b/>
          <w:szCs w:val="24"/>
        </w:rPr>
        <w:t xml:space="preserve">Projekty zaměřené na odpadové hospodářství podpořené z programu OP PIK probíhající v letech 2019 a 2020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728"/>
        <w:gridCol w:w="739"/>
      </w:tblGrid>
      <w:tr w:rsidR="007E5173" w:rsidTr="00633361">
        <w:trPr>
          <w:trHeight w:val="730"/>
        </w:trPr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>Číslo projektu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 xml:space="preserve">Období řešení 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EG15_019/0004523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Nová technologie rafinace spalin a eliminace persistentních organických látek využitím odpadního sorbentu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2015–2020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EG16_084/0010340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Výzkum a vývoj nového tuhého alternativního paliva ze směsného komunálního odpadu metodou</w:t>
            </w:r>
            <w:r w:rsidRPr="003B2D08">
              <w:rPr>
                <w:rFonts w:cstheme="minorHAnsi"/>
                <w:sz w:val="20"/>
                <w:szCs w:val="20"/>
              </w:rPr>
              <w:t xml:space="preserve"> mokré separace a provedení spalovací zkoušky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2017–2019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EG16_084/0010353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Výzkum zinkových odpadů a vývoj zinkových produktů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2017–2020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EG16_084/0010378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3B2D08">
              <w:rPr>
                <w:rFonts w:cstheme="minorHAnsi"/>
                <w:sz w:val="20"/>
                <w:szCs w:val="20"/>
              </w:rPr>
              <w:t>VaV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Mobilní jednotky technologie plazmové likvidace odpadů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2017–2021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EG16_084/0010332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Technologie </w:t>
            </w:r>
            <w:r w:rsidRPr="003B2D08">
              <w:rPr>
                <w:rFonts w:cstheme="minorHAnsi"/>
                <w:sz w:val="20"/>
                <w:szCs w:val="20"/>
              </w:rPr>
              <w:t>využití odpadního tepla vznikajícího při likvidaci odpadů z čištění vod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2017–2021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EG17_103/0011804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Průmyslový vývoj v oblasti plastových odpadů a nových aplikací plastů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2018–2020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EG17_106/0012442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Vývoj zařízení pro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pyrolýzní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zpracování čistírenských kalů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2017–2022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EG17_106/0012475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Vývoj nového způsobu čištění komunálních odpadních vod (tepelná likvidace kontaminantů)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2017–2021</w:t>
            </w:r>
          </w:p>
        </w:tc>
      </w:tr>
      <w:tr w:rsidR="007E5173" w:rsidTr="0063336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EG17_107/0012304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Technologická jednotka pro úpravu a nového užití základních složek odpadu pocházejícího z vláknitých </w:t>
            </w:r>
            <w:r w:rsidRPr="003B2D08">
              <w:rPr>
                <w:rFonts w:cstheme="minorHAnsi"/>
                <w:sz w:val="20"/>
                <w:szCs w:val="20"/>
              </w:rPr>
              <w:t xml:space="preserve">polymerních matric a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kompozitů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2017–2020</w:t>
            </w:r>
          </w:p>
        </w:tc>
      </w:tr>
      <w:tr w:rsidR="007E5173" w:rsidTr="0063336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EG17_175/0015520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Modulární zařízení pro environmentálně šetrné energetické využití materiálově nevyužitelného odpadu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2019–2023</w:t>
            </w:r>
          </w:p>
        </w:tc>
      </w:tr>
      <w:tr w:rsidR="007E5173" w:rsidTr="0063336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EG19_262/0020213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ZKV – Informační systém </w:t>
            </w:r>
            <w:proofErr w:type="gramStart"/>
            <w:r w:rsidRPr="003B2D08">
              <w:rPr>
                <w:rFonts w:cstheme="minorHAnsi"/>
                <w:sz w:val="20"/>
                <w:szCs w:val="20"/>
              </w:rPr>
              <w:t>Zaplať</w:t>
            </w:r>
            <w:proofErr w:type="gramEnd"/>
            <w:r w:rsidRPr="003B2D08">
              <w:rPr>
                <w:rFonts w:cstheme="minorHAnsi"/>
                <w:sz w:val="20"/>
                <w:szCs w:val="20"/>
              </w:rPr>
              <w:t xml:space="preserve"> kolik vyhodíš o třídění odpadu </w:t>
            </w:r>
            <w:r w:rsidRPr="003B2D08">
              <w:rPr>
                <w:rFonts w:cstheme="minorHAnsi"/>
                <w:sz w:val="20"/>
                <w:szCs w:val="20"/>
              </w:rPr>
              <w:t>obyvatelstvem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2020–2022</w:t>
            </w:r>
          </w:p>
        </w:tc>
      </w:tr>
      <w:tr w:rsidR="007E5173" w:rsidTr="0063336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EG19_262/0020304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3B2D08">
              <w:rPr>
                <w:rFonts w:cstheme="minorHAnsi"/>
                <w:sz w:val="20"/>
                <w:szCs w:val="20"/>
              </w:rPr>
              <w:t>Gastroodpady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– výzkum efektivních metod jejich využití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2020–2023</w:t>
            </w:r>
          </w:p>
        </w:tc>
      </w:tr>
      <w:tr w:rsidR="007E5173" w:rsidTr="0063336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EG19_262/0020316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Výzkum technologie na recyklaci plastového odpadu – POL 2.0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2020–2023</w:t>
            </w:r>
          </w:p>
        </w:tc>
      </w:tr>
      <w:tr w:rsidR="007E5173" w:rsidTr="0063336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2B6C1B" w:rsidRDefault="00E364DA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E364DA" w:rsidRPr="002B6C1B" w:rsidRDefault="00E364DA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E364DA" w:rsidRPr="002B6C1B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B6C1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EG19_262/0020353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Aplikace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Millenium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VII.</w:t>
            </w:r>
            <w:r>
              <w:rPr>
                <w:rFonts w:cstheme="minorHAnsi"/>
                <w:sz w:val="20"/>
                <w:szCs w:val="20"/>
              </w:rPr>
              <w:t>-</w:t>
            </w:r>
            <w:hyperlink r:id="rId74" w:history="1">
              <w:r>
                <w:rPr>
                  <w:rStyle w:val="Hypertextovodkaz"/>
                  <w:rFonts w:cstheme="minorHAnsi"/>
                  <w:sz w:val="20"/>
                  <w:szCs w:val="20"/>
                </w:rPr>
                <w:t>https://starfos.tacr.cz/cs/project/EG19_262%2F0020353?query_code=quyqaacntapq</w:t>
              </w:r>
            </w:hyperlink>
            <w:r w:rsidRPr="003B2D08">
              <w:rPr>
                <w:rFonts w:cstheme="minorHAnsi"/>
                <w:sz w:val="20"/>
                <w:szCs w:val="20"/>
              </w:rPr>
              <w:t>realizace protot</w:t>
            </w:r>
            <w:r>
              <w:rPr>
                <w:rFonts w:cstheme="minorHAnsi"/>
                <w:sz w:val="20"/>
                <w:szCs w:val="20"/>
              </w:rPr>
              <w:t xml:space="preserve">ypové </w:t>
            </w:r>
            <w:r w:rsidRPr="003B2D08">
              <w:rPr>
                <w:rFonts w:cstheme="minorHAnsi"/>
                <w:sz w:val="20"/>
                <w:szCs w:val="20"/>
              </w:rPr>
              <w:t>jednotky na zplynění odpadních plastů a výrobu syntézního plynu s</w:t>
            </w:r>
            <w:r w:rsidRPr="003B2D08">
              <w:rPr>
                <w:rFonts w:cstheme="minorHAnsi"/>
                <w:sz w:val="20"/>
                <w:szCs w:val="20"/>
              </w:rPr>
              <w:t>e zvýšeným obsahem vodíku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2020–2022</w:t>
            </w:r>
          </w:p>
        </w:tc>
      </w:tr>
    </w:tbl>
    <w:p w:rsidR="00E364DA" w:rsidRPr="003B2D08" w:rsidRDefault="008C12E6" w:rsidP="00633361">
      <w:pPr>
        <w:spacing w:before="60" w:line="276" w:lineRule="auto"/>
        <w:rPr>
          <w:rFonts w:cstheme="minorHAnsi"/>
          <w:i/>
          <w:sz w:val="20"/>
          <w:szCs w:val="20"/>
          <w:highlight w:val="yellow"/>
        </w:rPr>
      </w:pPr>
      <w:r w:rsidRPr="003B2D08">
        <w:rPr>
          <w:rFonts w:cstheme="minorHAnsi"/>
          <w:i/>
          <w:sz w:val="20"/>
          <w:szCs w:val="20"/>
        </w:rPr>
        <w:t xml:space="preserve">Zdroj dat: IS </w:t>
      </w:r>
      <w:proofErr w:type="spellStart"/>
      <w:r w:rsidRPr="003B2D08">
        <w:rPr>
          <w:rFonts w:cstheme="minorHAnsi"/>
          <w:i/>
          <w:sz w:val="20"/>
          <w:szCs w:val="20"/>
        </w:rPr>
        <w:t>VaVaI</w:t>
      </w:r>
      <w:proofErr w:type="spellEnd"/>
      <w:r w:rsidRPr="003B2D08">
        <w:rPr>
          <w:rFonts w:cstheme="minorHAnsi"/>
          <w:i/>
          <w:sz w:val="20"/>
          <w:szCs w:val="20"/>
        </w:rPr>
        <w:t>, 2021</w:t>
      </w:r>
    </w:p>
    <w:p w:rsidR="00E364DA" w:rsidRPr="003B2D08" w:rsidRDefault="00E364DA" w:rsidP="00E364DA">
      <w:pPr>
        <w:spacing w:line="276" w:lineRule="auto"/>
        <w:rPr>
          <w:rFonts w:cstheme="minorHAnsi"/>
          <w:b/>
        </w:rPr>
      </w:pPr>
    </w:p>
    <w:p w:rsidR="00E364DA" w:rsidRPr="003B2D08" w:rsidRDefault="008C12E6" w:rsidP="00E364DA">
      <w:pPr>
        <w:pStyle w:val="Odstavecseseznamem"/>
        <w:spacing w:after="60" w:line="276" w:lineRule="auto"/>
        <w:ind w:left="0"/>
        <w:contextualSpacing w:val="0"/>
        <w:rPr>
          <w:rFonts w:cstheme="minorHAnsi"/>
          <w:b/>
          <w:szCs w:val="24"/>
        </w:rPr>
      </w:pPr>
      <w:r w:rsidRPr="003B2D08">
        <w:rPr>
          <w:rFonts w:cstheme="minorHAnsi"/>
          <w:b/>
          <w:szCs w:val="24"/>
        </w:rPr>
        <w:t xml:space="preserve">Projekty zaměřené na odpadové hospodářství podpořené z programu ZEMĚ probíhající v letech 2019 a 2020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5685"/>
        <w:gridCol w:w="1203"/>
      </w:tblGrid>
      <w:tr w:rsidR="007E5173" w:rsidTr="00633361">
        <w:trPr>
          <w:trHeight w:val="730"/>
        </w:trPr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>Číslo projektu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B2D08">
              <w:rPr>
                <w:rFonts w:cstheme="minorHAnsi"/>
                <w:b/>
                <w:sz w:val="20"/>
                <w:szCs w:val="20"/>
              </w:rPr>
              <w:t xml:space="preserve">Období řešení 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QK1910056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Dlouhodobý test aplikace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biocharu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vyrobeného z odpadní biomasy do zemědělské půdy za účelem řešení problematiky sucha v intenzivně zemědělsky využívaných oblastech České republiky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2019–2023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QK1910095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Využití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vermikompostování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k eliminaci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mikropolutantů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za účelem bezpečné aplikace </w:t>
            </w:r>
            <w:r w:rsidRPr="003B2D08">
              <w:rPr>
                <w:rFonts w:cstheme="minorHAnsi"/>
                <w:sz w:val="20"/>
                <w:szCs w:val="20"/>
              </w:rPr>
              <w:t>čistírenského kalu na zemědělskou půdu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2019–2023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QK1910300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 xml:space="preserve">Využití odpadů z mlékáren pro produkci nových mléčných výrobků a doplňků stravy s přídavkem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mikrořas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nebo jejich komponent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2019–2023</w:t>
            </w:r>
          </w:p>
        </w:tc>
      </w:tr>
      <w:tr w:rsidR="007E5173" w:rsidTr="00633361">
        <w:tc>
          <w:tcPr>
            <w:tcW w:w="2169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QK1920177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Nástroje pro lepší využívání kompostovacích zařízení</w:t>
            </w:r>
            <w:r w:rsidRPr="003B2D08">
              <w:rPr>
                <w:rFonts w:cstheme="minorHAnsi"/>
                <w:sz w:val="20"/>
                <w:szCs w:val="20"/>
              </w:rPr>
              <w:t xml:space="preserve"> s následným navýšením vyrobeného kompostu, aplikovaného na zemědělskou půdu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2019–2021</w:t>
            </w:r>
          </w:p>
        </w:tc>
      </w:tr>
      <w:tr w:rsidR="007E5173" w:rsidTr="00CF2B37">
        <w:trPr>
          <w:trHeight w:val="559"/>
        </w:trPr>
        <w:tc>
          <w:tcPr>
            <w:tcW w:w="2169" w:type="dxa"/>
            <w:shd w:val="clear" w:color="auto" w:fill="auto"/>
            <w:vAlign w:val="center"/>
          </w:tcPr>
          <w:p w:rsidR="00E364DA" w:rsidRPr="003B2D08" w:rsidRDefault="008C12E6" w:rsidP="00506B64">
            <w:pPr>
              <w:pStyle w:val="Odstavecseseznamem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QK1910392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E364DA" w:rsidRPr="003B2D08" w:rsidRDefault="008C12E6" w:rsidP="00CF2B3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B2D08">
              <w:rPr>
                <w:rFonts w:cstheme="minorHAnsi"/>
                <w:sz w:val="20"/>
                <w:szCs w:val="20"/>
              </w:rPr>
              <w:t>Ekologicky šetrné materiály pro</w:t>
            </w:r>
            <w:r w:rsidR="00CF2B37">
              <w:rPr>
                <w:rFonts w:cstheme="minorHAnsi"/>
                <w:sz w:val="20"/>
                <w:szCs w:val="20"/>
              </w:rPr>
              <w:t xml:space="preserve"> </w:t>
            </w:r>
            <w:r w:rsidRPr="003B2D08">
              <w:rPr>
                <w:rFonts w:cstheme="minorHAnsi"/>
                <w:sz w:val="20"/>
                <w:szCs w:val="20"/>
              </w:rPr>
              <w:t>intenzifikaci rostlinné výroby s</w:t>
            </w:r>
            <w:r w:rsidR="00CF2B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D08">
              <w:rPr>
                <w:rFonts w:cstheme="minorHAnsi"/>
                <w:sz w:val="20"/>
                <w:szCs w:val="20"/>
              </w:rPr>
              <w:t>půdoochrannými</w:t>
            </w:r>
            <w:proofErr w:type="spellEnd"/>
            <w:r w:rsidRPr="003B2D08">
              <w:rPr>
                <w:rFonts w:cstheme="minorHAnsi"/>
                <w:sz w:val="20"/>
                <w:szCs w:val="20"/>
              </w:rPr>
              <w:t xml:space="preserve"> vlastnostmi na bázi</w:t>
            </w:r>
            <w:r w:rsidR="00CF2B37">
              <w:rPr>
                <w:rFonts w:cstheme="minorHAnsi"/>
                <w:sz w:val="20"/>
                <w:szCs w:val="20"/>
              </w:rPr>
              <w:t xml:space="preserve"> </w:t>
            </w:r>
            <w:r w:rsidRPr="003B2D08">
              <w:rPr>
                <w:rFonts w:cstheme="minorHAnsi"/>
                <w:sz w:val="20"/>
                <w:szCs w:val="20"/>
              </w:rPr>
              <w:t>obnovitelných zdrojů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364DA" w:rsidRPr="003B2D08" w:rsidRDefault="008C12E6" w:rsidP="00506B64">
            <w:pPr>
              <w:rPr>
                <w:rFonts w:cstheme="minorHAnsi"/>
              </w:rPr>
            </w:pPr>
            <w:r w:rsidRPr="003B2D08">
              <w:rPr>
                <w:rFonts w:cstheme="minorHAnsi"/>
                <w:sz w:val="20"/>
                <w:szCs w:val="20"/>
              </w:rPr>
              <w:t>2019–2023</w:t>
            </w:r>
          </w:p>
        </w:tc>
      </w:tr>
    </w:tbl>
    <w:p w:rsidR="00E364DA" w:rsidRPr="003B2D08" w:rsidRDefault="008C12E6" w:rsidP="00633361">
      <w:pPr>
        <w:spacing w:before="60" w:line="276" w:lineRule="auto"/>
        <w:rPr>
          <w:rFonts w:cstheme="minorHAnsi"/>
          <w:i/>
          <w:sz w:val="20"/>
          <w:szCs w:val="20"/>
          <w:highlight w:val="yellow"/>
        </w:rPr>
      </w:pPr>
      <w:r w:rsidRPr="003B2D08">
        <w:rPr>
          <w:rFonts w:cstheme="minorHAnsi"/>
          <w:i/>
          <w:sz w:val="20"/>
          <w:szCs w:val="20"/>
        </w:rPr>
        <w:t xml:space="preserve">Zdroj dat: IS </w:t>
      </w:r>
      <w:proofErr w:type="spellStart"/>
      <w:r w:rsidRPr="003B2D08">
        <w:rPr>
          <w:rFonts w:cstheme="minorHAnsi"/>
          <w:i/>
          <w:sz w:val="20"/>
          <w:szCs w:val="20"/>
        </w:rPr>
        <w:t>VaVaI</w:t>
      </w:r>
      <w:proofErr w:type="spellEnd"/>
      <w:r w:rsidRPr="003B2D08">
        <w:rPr>
          <w:rFonts w:cstheme="minorHAnsi"/>
          <w:i/>
          <w:sz w:val="20"/>
          <w:szCs w:val="20"/>
        </w:rPr>
        <w:t>, 2021</w:t>
      </w:r>
    </w:p>
    <w:p w:rsidR="00E364DA" w:rsidRPr="003B2D08" w:rsidRDefault="00E364DA" w:rsidP="00E364DA">
      <w:pPr>
        <w:pStyle w:val="Odstavecseseznamem"/>
        <w:spacing w:after="60" w:line="276" w:lineRule="auto"/>
        <w:ind w:left="0"/>
        <w:contextualSpacing w:val="0"/>
        <w:rPr>
          <w:rFonts w:cstheme="minorHAnsi"/>
          <w:b/>
          <w:szCs w:val="24"/>
        </w:rPr>
      </w:pPr>
    </w:p>
    <w:p w:rsidR="00696214" w:rsidRDefault="008C12E6" w:rsidP="00696214">
      <w:pPr>
        <w:pStyle w:val="Odstavecseseznamem"/>
        <w:spacing w:after="60" w:line="276" w:lineRule="auto"/>
        <w:ind w:left="0"/>
        <w:contextualSpacing w:val="0"/>
        <w:rPr>
          <w:rFonts w:cstheme="minorHAnsi"/>
          <w:b/>
          <w:szCs w:val="24"/>
        </w:rPr>
      </w:pPr>
      <w:r w:rsidRPr="003B2D08">
        <w:rPr>
          <w:rFonts w:cstheme="minorHAnsi"/>
          <w:b/>
          <w:szCs w:val="24"/>
        </w:rPr>
        <w:t xml:space="preserve">Projekty podpořené v </w:t>
      </w:r>
      <w:r w:rsidRPr="0086405C">
        <w:rPr>
          <w:rFonts w:cstheme="minorHAnsi"/>
          <w:b/>
          <w:szCs w:val="24"/>
        </w:rPr>
        <w:t>roce 2019</w:t>
      </w:r>
      <w:r w:rsidRPr="003B2D08">
        <w:rPr>
          <w:rFonts w:cstheme="minorHAnsi"/>
          <w:b/>
          <w:szCs w:val="24"/>
        </w:rPr>
        <w:t xml:space="preserve"> z Programu MŽP na podporu Nevládních neziskových organizací – oblast odpady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12"/>
        <w:gridCol w:w="4150"/>
        <w:gridCol w:w="1417"/>
      </w:tblGrid>
      <w:tr w:rsidR="007E5173" w:rsidTr="00633361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6214" w:rsidRPr="003B2D08" w:rsidRDefault="008C12E6" w:rsidP="00506B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  <w:p w:rsidR="00696214" w:rsidRPr="003B2D08" w:rsidRDefault="008C12E6" w:rsidP="00506B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6214" w:rsidRPr="003B2D08" w:rsidRDefault="008C12E6" w:rsidP="00506B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6214" w:rsidRPr="003B2D08" w:rsidRDefault="008C12E6" w:rsidP="00506B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6214" w:rsidRPr="003B2D08" w:rsidRDefault="008C12E6" w:rsidP="00506B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</w:tr>
      <w:tr w:rsidR="007E5173" w:rsidTr="00633361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 pokoje do pokoje – Spojené hlavy, z. s.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Centrum pro záchranu starého nábytku – </w:t>
            </w: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br/>
              <w:t>Z pokoje do pokoje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200 </w:t>
            </w: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000 Kč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5173" w:rsidTr="00633361">
        <w:trPr>
          <w:trHeight w:val="5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Čmelák – Společnost přátel přírody, z.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Zažij ZERO WASTE!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200 000 Kč</w:t>
            </w:r>
          </w:p>
        </w:tc>
      </w:tr>
      <w:tr w:rsidR="007E5173" w:rsidTr="00633361">
        <w:trPr>
          <w:trHeight w:val="4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Arnika, z.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Méně odpadu v Moravskoslezském kraji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198 840Kč</w:t>
            </w:r>
          </w:p>
        </w:tc>
      </w:tr>
      <w:tr w:rsidR="007E5173" w:rsidTr="00633361">
        <w:trPr>
          <w:trHeight w:val="6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ARNIKA – program Toxické látky a odpady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Odpadové hospodářství obcí – příklady dobré</w:t>
            </w: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br/>
              <w:t>praxe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200 000 Kč</w:t>
            </w:r>
          </w:p>
        </w:tc>
      </w:tr>
      <w:tr w:rsidR="007E5173" w:rsidTr="00633361">
        <w:trPr>
          <w:trHeight w:val="84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Naučné středisko ekologické výchovy Kladno -</w:t>
            </w: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Čabárna</w:t>
            </w:r>
            <w:proofErr w:type="spellEnd"/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o. p.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Život bez obalů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200 000 Kč</w:t>
            </w:r>
          </w:p>
        </w:tc>
      </w:tr>
      <w:tr w:rsidR="007E5173" w:rsidTr="00633361">
        <w:trPr>
          <w:trHeight w:val="26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Zachraň Jídlo, z.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Mluvme o plýtvání potravinami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103 182 Kč</w:t>
            </w:r>
          </w:p>
        </w:tc>
      </w:tr>
      <w:tr w:rsidR="007E5173" w:rsidTr="00633361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Zachraň jídlo, </w:t>
            </w:r>
            <w:proofErr w:type="spellStart"/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Spotřebuj mě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199 800 Kč</w:t>
            </w:r>
          </w:p>
        </w:tc>
      </w:tr>
      <w:tr w:rsidR="007E5173" w:rsidTr="00633361">
        <w:trPr>
          <w:trHeight w:val="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KOKOZA, o. p.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Kompostujeme, nehnijeme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7E5173" w:rsidTr="00633361">
        <w:trPr>
          <w:trHeight w:val="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České ekologické manažerské centrum, z.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Konference Předcházení vzniku odpadů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175</w:t>
            </w: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7E5173" w:rsidTr="00633361">
        <w:trPr>
          <w:trHeight w:val="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EKODOMOV, z.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Komunitní kompostování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199 850 Kč</w:t>
            </w:r>
          </w:p>
        </w:tc>
      </w:tr>
      <w:tr w:rsidR="007E5173" w:rsidTr="00633361">
        <w:trPr>
          <w:trHeight w:val="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Recyklohraní</w:t>
            </w:r>
            <w:proofErr w:type="spellEnd"/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o. p.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Recyklace hrou v Ústeckém, Plzeňském a</w:t>
            </w: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br/>
              <w:t>Libereckém kraji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E1454A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179 250 </w:t>
            </w: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Kč</w:t>
            </w:r>
          </w:p>
          <w:p w:rsidR="00696214" w:rsidRPr="0086405C" w:rsidRDefault="00696214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E5173" w:rsidTr="00633361">
        <w:trPr>
          <w:trHeight w:val="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Český svaz ochránců přírody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1454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Ukliďme svět, ukliďme Česko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14" w:rsidRPr="0086405C" w:rsidRDefault="008C12E6" w:rsidP="00506B64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6405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200 000 Kč</w:t>
            </w:r>
          </w:p>
        </w:tc>
      </w:tr>
      <w:tr w:rsidR="007E5173" w:rsidTr="00633361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14" w:rsidRPr="00496547" w:rsidRDefault="008C12E6" w:rsidP="00506B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</w:pPr>
            <w:r w:rsidRPr="00496547"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14" w:rsidRPr="00496547" w:rsidRDefault="008C12E6" w:rsidP="00506B6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</w:pPr>
            <w:r w:rsidRPr="00496547"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14" w:rsidRPr="00496547" w:rsidRDefault="008C12E6" w:rsidP="00506B64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</w:pPr>
            <w:r w:rsidRPr="00496547"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14" w:rsidRPr="00496547" w:rsidRDefault="008C12E6" w:rsidP="00506B6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>2 056 122</w:t>
            </w:r>
            <w:r w:rsidRPr="00496547"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 xml:space="preserve"> Kč</w:t>
            </w:r>
          </w:p>
        </w:tc>
      </w:tr>
    </w:tbl>
    <w:p w:rsidR="00696214" w:rsidRPr="00030DDB" w:rsidRDefault="008C12E6" w:rsidP="00633361">
      <w:pPr>
        <w:spacing w:before="60" w:line="276" w:lineRule="auto"/>
        <w:rPr>
          <w:rFonts w:cstheme="minorHAnsi"/>
          <w:i/>
          <w:sz w:val="20"/>
          <w:szCs w:val="20"/>
        </w:rPr>
      </w:pPr>
      <w:r w:rsidRPr="00496547">
        <w:rPr>
          <w:rFonts w:cstheme="minorHAnsi"/>
          <w:i/>
          <w:sz w:val="20"/>
          <w:szCs w:val="20"/>
        </w:rPr>
        <w:t>Zdroj: MŽP, 2021</w:t>
      </w:r>
    </w:p>
    <w:p w:rsidR="00696214" w:rsidRPr="00696214" w:rsidRDefault="00696214" w:rsidP="007836D0">
      <w:pPr>
        <w:pStyle w:val="Odstavecseseznamem"/>
        <w:spacing w:after="60" w:line="276" w:lineRule="auto"/>
        <w:ind w:left="0"/>
        <w:contextualSpacing w:val="0"/>
        <w:rPr>
          <w:rFonts w:cs="Tahoma"/>
          <w:szCs w:val="24"/>
        </w:rPr>
      </w:pPr>
    </w:p>
    <w:p w:rsidR="00230724" w:rsidRPr="003B2D08" w:rsidRDefault="008C12E6" w:rsidP="0032253E">
      <w:pPr>
        <w:pStyle w:val="Odstavecseseznamem"/>
        <w:spacing w:after="60" w:line="276" w:lineRule="auto"/>
        <w:ind w:left="0"/>
        <w:contextualSpacing w:val="0"/>
        <w:rPr>
          <w:rFonts w:cstheme="minorHAnsi"/>
          <w:b/>
          <w:szCs w:val="24"/>
        </w:rPr>
      </w:pPr>
      <w:r w:rsidRPr="00230724">
        <w:rPr>
          <w:rFonts w:cstheme="minorHAnsi"/>
          <w:b/>
          <w:szCs w:val="24"/>
        </w:rPr>
        <w:t xml:space="preserve">Projekty podpořené v roce 2020 z Programu na podporu projektů nestátních neziskových </w:t>
      </w:r>
      <w:proofErr w:type="gramStart"/>
      <w:r w:rsidRPr="00230724">
        <w:rPr>
          <w:rFonts w:cstheme="minorHAnsi"/>
          <w:b/>
          <w:szCs w:val="24"/>
        </w:rPr>
        <w:t>organizací  –</w:t>
      </w:r>
      <w:proofErr w:type="gramEnd"/>
      <w:r w:rsidRPr="00230724">
        <w:rPr>
          <w:rFonts w:cstheme="minorHAnsi"/>
          <w:b/>
          <w:szCs w:val="24"/>
        </w:rPr>
        <w:t xml:space="preserve"> oblast odpady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12"/>
        <w:gridCol w:w="4150"/>
        <w:gridCol w:w="1417"/>
      </w:tblGrid>
      <w:tr w:rsidR="007E5173" w:rsidTr="00A51A91">
        <w:trPr>
          <w:trHeight w:val="6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53E" w:rsidRPr="003B2D08" w:rsidRDefault="008C12E6" w:rsidP="00A51A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  <w:p w:rsidR="0032253E" w:rsidRPr="003B2D08" w:rsidRDefault="008C12E6" w:rsidP="00A51A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53E" w:rsidRPr="003B2D08" w:rsidRDefault="008C12E6" w:rsidP="00A51A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53E" w:rsidRPr="003B2D08" w:rsidRDefault="008C12E6" w:rsidP="00A51A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53E" w:rsidRPr="003B2D08" w:rsidRDefault="008C12E6" w:rsidP="00A51A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</w:tr>
      <w:tr w:rsidR="007E5173" w:rsidTr="00A51A91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TRASH HERO CZECH REPUBLIC z. s.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Prevence vzniku odpadů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173 460 Kč</w:t>
            </w:r>
          </w:p>
        </w:tc>
      </w:tr>
      <w:tr w:rsidR="007E5173" w:rsidTr="00A51A91">
        <w:trPr>
          <w:trHeight w:val="5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Institut pro udržitelný rozvoj o. p.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Není pytlík jako pytlík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250 000 Kč</w:t>
            </w:r>
          </w:p>
        </w:tc>
      </w:tr>
      <w:tr w:rsidR="007E5173" w:rsidTr="00A51A91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pokoje do pokoje – Spojené hlavy, z. s.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Re-use centrum "Z pokoje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pokoje"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200 000 Kč</w:t>
            </w:r>
          </w:p>
        </w:tc>
      </w:tr>
      <w:tr w:rsidR="007E5173" w:rsidTr="00A51A91">
        <w:trPr>
          <w:trHeight w:val="3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KOKOZA, o.p.s.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Uzavřený cyklus jídla v provozu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215 000 Kč</w:t>
            </w:r>
          </w:p>
        </w:tc>
      </w:tr>
      <w:tr w:rsidR="007E5173" w:rsidTr="00A51A91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Arnika, z.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Podpora třídění v rekreačních oblastech Beskyd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249 000 Kč</w:t>
            </w:r>
          </w:p>
        </w:tc>
      </w:tr>
      <w:tr w:rsidR="007E5173" w:rsidTr="00A51A91">
        <w:trPr>
          <w:trHeight w:val="26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AvantgArt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z. s.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Dílna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Zauhlovačky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170 000 Kč</w:t>
            </w:r>
          </w:p>
        </w:tc>
      </w:tr>
      <w:tr w:rsidR="007E5173" w:rsidTr="00A51A91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ARNIKA – program Toxické látky a odpady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Odpadové hospodářství obcí – příklady dobré praxe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246 000 Kč</w:t>
            </w:r>
          </w:p>
        </w:tc>
      </w:tr>
      <w:tr w:rsidR="007E5173" w:rsidTr="00A51A91">
        <w:trPr>
          <w:trHeight w:val="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Zelený kruh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Cesty k prevenci a třídění – zkušenosti úspěšných obcí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123 998 Kč</w:t>
            </w:r>
          </w:p>
        </w:tc>
      </w:tr>
      <w:tr w:rsidR="007E5173" w:rsidTr="00A51A91">
        <w:trPr>
          <w:trHeight w:val="1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3E" w:rsidRPr="0086405C" w:rsidRDefault="008C12E6" w:rsidP="00A51A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Český svaz ochránců přírody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Ukliďme svět, ukliďme Česko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E" w:rsidRDefault="008C12E6" w:rsidP="00A51A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250 000 Kč</w:t>
            </w:r>
          </w:p>
        </w:tc>
      </w:tr>
      <w:tr w:rsidR="007E5173" w:rsidTr="00A51A91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3E" w:rsidRPr="00496547" w:rsidRDefault="008C12E6" w:rsidP="00A51A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</w:pPr>
            <w:r w:rsidRPr="00496547"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3E" w:rsidRPr="00496547" w:rsidRDefault="008C12E6" w:rsidP="00A51A91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</w:pPr>
            <w:r w:rsidRPr="00496547"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3E" w:rsidRPr="00496547" w:rsidRDefault="008C12E6" w:rsidP="00A51A91">
            <w:pPr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</w:pPr>
            <w:r w:rsidRPr="00496547">
              <w:rPr>
                <w:rFonts w:eastAsia="Times New Roman" w:cstheme="minorHAns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3E" w:rsidRPr="00367DBA" w:rsidRDefault="008C12E6" w:rsidP="00A51A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1 877 458 Kč</w:t>
            </w:r>
          </w:p>
        </w:tc>
      </w:tr>
    </w:tbl>
    <w:p w:rsidR="0032253E" w:rsidRPr="00030DDB" w:rsidRDefault="008C12E6" w:rsidP="0032253E">
      <w:pPr>
        <w:spacing w:before="60" w:line="276" w:lineRule="auto"/>
        <w:rPr>
          <w:rFonts w:cstheme="minorHAnsi"/>
          <w:i/>
          <w:sz w:val="20"/>
          <w:szCs w:val="20"/>
        </w:rPr>
      </w:pPr>
      <w:r w:rsidRPr="00496547">
        <w:rPr>
          <w:rFonts w:cstheme="minorHAnsi"/>
          <w:i/>
          <w:sz w:val="20"/>
          <w:szCs w:val="20"/>
        </w:rPr>
        <w:t xml:space="preserve">Zdroj: </w:t>
      </w:r>
      <w:r w:rsidRPr="00496547">
        <w:rPr>
          <w:rFonts w:cstheme="minorHAnsi"/>
          <w:i/>
          <w:sz w:val="20"/>
          <w:szCs w:val="20"/>
        </w:rPr>
        <w:t>MŽP, 202</w:t>
      </w:r>
      <w:r>
        <w:rPr>
          <w:rFonts w:cstheme="minorHAnsi"/>
          <w:i/>
          <w:sz w:val="20"/>
          <w:szCs w:val="20"/>
        </w:rPr>
        <w:t>2</w:t>
      </w:r>
    </w:p>
    <w:p w:rsidR="0032253E" w:rsidRPr="00030DDB" w:rsidRDefault="0032253E" w:rsidP="0032253E">
      <w:pPr>
        <w:spacing w:line="276" w:lineRule="auto"/>
        <w:rPr>
          <w:rFonts w:cstheme="minorHAnsi"/>
          <w:i/>
          <w:sz w:val="20"/>
          <w:szCs w:val="20"/>
        </w:rPr>
      </w:pPr>
    </w:p>
    <w:p w:rsidR="00F634DD" w:rsidRDefault="008C12E6">
      <w:pPr>
        <w:spacing w:after="200" w:line="276" w:lineRule="auto"/>
        <w:jc w:val="left"/>
      </w:pPr>
      <w:r>
        <w:br w:type="page"/>
      </w:r>
    </w:p>
    <w:p w:rsidR="00A078C9" w:rsidRDefault="008C12E6" w:rsidP="00A078C9">
      <w:pPr>
        <w:pStyle w:val="Nadpis20"/>
        <w:ind w:left="567"/>
      </w:pPr>
      <w:bookmarkStart w:id="40" w:name="_Toc256000014"/>
      <w:r>
        <w:lastRenderedPageBreak/>
        <w:t>Seznam tabulek a grafů</w:t>
      </w:r>
      <w:bookmarkEnd w:id="40"/>
    </w:p>
    <w:p w:rsidR="00A078C9" w:rsidRDefault="00A078C9" w:rsidP="00A078C9">
      <w:pPr>
        <w:tabs>
          <w:tab w:val="left" w:pos="912"/>
        </w:tabs>
        <w:autoSpaceDE w:val="0"/>
        <w:autoSpaceDN w:val="0"/>
        <w:adjustRightInd w:val="0"/>
        <w:spacing w:after="120" w:line="276" w:lineRule="auto"/>
      </w:pPr>
    </w:p>
    <w:p w:rsidR="00407040" w:rsidRPr="00407040" w:rsidRDefault="008C12E6" w:rsidP="000340D1">
      <w:pPr>
        <w:tabs>
          <w:tab w:val="left" w:pos="912"/>
        </w:tabs>
        <w:autoSpaceDE w:val="0"/>
        <w:autoSpaceDN w:val="0"/>
        <w:adjustRightInd w:val="0"/>
        <w:spacing w:after="120" w:line="276" w:lineRule="auto"/>
        <w:rPr>
          <w:b/>
        </w:rPr>
      </w:pPr>
      <w:r w:rsidRPr="00D52190">
        <w:rPr>
          <w:b/>
        </w:rPr>
        <w:t>Tabulky:</w:t>
      </w:r>
      <w:r w:rsidRPr="00407040">
        <w:rPr>
          <w:b/>
        </w:rPr>
        <w:t xml:space="preserve"> </w:t>
      </w:r>
    </w:p>
    <w:p w:rsidR="00D106A1" w:rsidRPr="00140380" w:rsidRDefault="008C12E6" w:rsidP="003B2C61">
      <w:pPr>
        <w:spacing w:after="120" w:line="276" w:lineRule="auto"/>
        <w:rPr>
          <w:rFonts w:cstheme="minorHAnsi"/>
          <w:bCs/>
        </w:rPr>
      </w:pPr>
      <w:r w:rsidRPr="00140380">
        <w:rPr>
          <w:rFonts w:cstheme="minorHAnsi"/>
          <w:b/>
          <w:bCs/>
        </w:rPr>
        <w:t>Tabulka 1:</w:t>
      </w:r>
      <w:r w:rsidRPr="00140380">
        <w:rPr>
          <w:rFonts w:cstheme="minorHAnsi"/>
          <w:bCs/>
        </w:rPr>
        <w:t xml:space="preserve"> Produkce odpadů dle skupin odpadů z Katalogu odpadů v letech </w:t>
      </w:r>
      <w:r w:rsidR="00C1329D" w:rsidRPr="00140380">
        <w:rPr>
          <w:rFonts w:cstheme="minorHAnsi"/>
          <w:bCs/>
        </w:rPr>
        <w:t>2019</w:t>
      </w:r>
      <w:r w:rsidR="00C1329D">
        <w:rPr>
          <w:rFonts w:cstheme="minorHAnsi"/>
          <w:bCs/>
        </w:rPr>
        <w:t>–2020</w:t>
      </w:r>
      <w:r w:rsidRPr="00140380">
        <w:rPr>
          <w:rFonts w:cstheme="minorHAnsi"/>
          <w:bCs/>
        </w:rPr>
        <w:t xml:space="preserve"> </w:t>
      </w:r>
      <w:r w:rsidR="00567FCE" w:rsidRPr="00140380">
        <w:rPr>
          <w:rFonts w:cstheme="minorHAnsi"/>
          <w:bCs/>
        </w:rPr>
        <w:t>v</w:t>
      </w:r>
      <w:r w:rsidR="00140380">
        <w:rPr>
          <w:rFonts w:cstheme="minorHAnsi"/>
          <w:bCs/>
        </w:rPr>
        <w:t> </w:t>
      </w:r>
      <w:r w:rsidRPr="00140380">
        <w:rPr>
          <w:rFonts w:cstheme="minorHAnsi"/>
          <w:bCs/>
        </w:rPr>
        <w:t>ČR</w:t>
      </w:r>
      <w:r w:rsidR="00140380">
        <w:rPr>
          <w:rFonts w:cstheme="minorHAnsi"/>
          <w:bCs/>
        </w:rPr>
        <w:t> </w:t>
      </w:r>
      <w:r w:rsidRPr="00140380">
        <w:rPr>
          <w:rFonts w:cstheme="minorHAnsi"/>
          <w:bCs/>
        </w:rPr>
        <w:t>[t]</w:t>
      </w:r>
    </w:p>
    <w:p w:rsidR="00B90D24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2:</w:t>
      </w:r>
      <w:r w:rsidRPr="00140380">
        <w:rPr>
          <w:rFonts w:cstheme="minorHAnsi"/>
        </w:rPr>
        <w:t xml:space="preserve"> </w:t>
      </w:r>
      <w:r w:rsidR="00D106A1" w:rsidRPr="00140380">
        <w:rPr>
          <w:rFonts w:cstheme="minorHAnsi"/>
          <w:bCs/>
        </w:rPr>
        <w:t>Využití ve skupinách elektrozařízení v roce 2019 a 2020</w:t>
      </w:r>
    </w:p>
    <w:p w:rsidR="00F60F3E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3:</w:t>
      </w:r>
      <w:r w:rsidR="00D106A1" w:rsidRPr="00140380">
        <w:rPr>
          <w:rFonts w:cstheme="minorHAnsi"/>
        </w:rPr>
        <w:t xml:space="preserve"> Podpořené projekty za roky 2015 a 2016</w:t>
      </w:r>
    </w:p>
    <w:p w:rsidR="00F60F3E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4:</w:t>
      </w:r>
      <w:r w:rsidRPr="00140380">
        <w:rPr>
          <w:rFonts w:cstheme="minorHAnsi"/>
        </w:rPr>
        <w:t xml:space="preserve"> </w:t>
      </w:r>
      <w:r w:rsidR="00D106A1" w:rsidRPr="00140380">
        <w:rPr>
          <w:rFonts w:cstheme="minorHAnsi"/>
        </w:rPr>
        <w:t>Podpořené projekty za roky 2017 a 2018</w:t>
      </w:r>
    </w:p>
    <w:p w:rsidR="00D106A1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5:</w:t>
      </w:r>
      <w:r w:rsidRPr="00140380">
        <w:rPr>
          <w:rFonts w:cstheme="minorHAnsi"/>
        </w:rPr>
        <w:t xml:space="preserve"> Podpořené projekty za roky 2019 a 2020</w:t>
      </w:r>
    </w:p>
    <w:p w:rsidR="00F60F3E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6:</w:t>
      </w:r>
      <w:r w:rsidRPr="00140380">
        <w:rPr>
          <w:rFonts w:cstheme="minorHAnsi"/>
        </w:rPr>
        <w:t xml:space="preserve"> Finanční alokace příspěvku EU v rámci </w:t>
      </w:r>
      <w:r w:rsidRPr="00140380">
        <w:rPr>
          <w:rFonts w:eastAsia="Times New Roman" w:cstheme="minorHAnsi"/>
          <w:lang w:eastAsia="cs-CZ"/>
        </w:rPr>
        <w:t>Prioritní osy 4</w:t>
      </w:r>
    </w:p>
    <w:p w:rsidR="00D106A1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7:</w:t>
      </w:r>
      <w:r w:rsidRPr="00140380">
        <w:rPr>
          <w:rFonts w:cstheme="minorHAnsi"/>
        </w:rPr>
        <w:t xml:space="preserve"> </w:t>
      </w:r>
      <w:r w:rsidRPr="00140380">
        <w:rPr>
          <w:rFonts w:eastAsia="Times New Roman" w:cstheme="minorHAnsi"/>
          <w:lang w:eastAsia="cs-CZ"/>
        </w:rPr>
        <w:t>Finanční realizace Prioritní osy 4</w:t>
      </w:r>
    </w:p>
    <w:p w:rsidR="00D106A1" w:rsidRPr="00140380" w:rsidRDefault="008C12E6" w:rsidP="003B2C6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140380">
        <w:rPr>
          <w:rFonts w:asciiTheme="minorHAnsi" w:hAnsiTheme="minorHAnsi" w:cstheme="minorHAnsi"/>
          <w:b/>
        </w:rPr>
        <w:t>Tabulka 8:</w:t>
      </w:r>
      <w:r w:rsidRPr="00140380">
        <w:rPr>
          <w:rFonts w:asciiTheme="minorHAnsi" w:hAnsiTheme="minorHAnsi" w:cstheme="minorHAnsi"/>
        </w:rPr>
        <w:t xml:space="preserve"> Vypsané výzvy Prioritní osy 4</w:t>
      </w:r>
    </w:p>
    <w:p w:rsidR="00D106A1" w:rsidRPr="00140380" w:rsidRDefault="008C12E6" w:rsidP="003B2C61">
      <w:pPr>
        <w:spacing w:after="120" w:line="276" w:lineRule="auto"/>
        <w:rPr>
          <w:rFonts w:eastAsia="Calibri" w:cstheme="minorHAnsi"/>
          <w:color w:val="000000"/>
          <w:szCs w:val="24"/>
        </w:rPr>
      </w:pPr>
      <w:r w:rsidRPr="00140380">
        <w:rPr>
          <w:rFonts w:cstheme="minorHAnsi"/>
          <w:b/>
        </w:rPr>
        <w:t>Tabulka 9:</w:t>
      </w:r>
      <w:r w:rsidRPr="00140380">
        <w:rPr>
          <w:rFonts w:cstheme="minorHAnsi"/>
        </w:rPr>
        <w:t xml:space="preserve"> Podpořené projekty v rámci OP 4.1</w:t>
      </w:r>
    </w:p>
    <w:p w:rsidR="00D106A1" w:rsidRPr="00140380" w:rsidRDefault="008C12E6" w:rsidP="003B2C6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140380">
        <w:rPr>
          <w:rFonts w:asciiTheme="minorHAnsi" w:hAnsiTheme="minorHAnsi" w:cstheme="minorHAnsi"/>
          <w:b/>
        </w:rPr>
        <w:t>Tabulka 10:</w:t>
      </w:r>
      <w:r w:rsidRPr="00140380">
        <w:rPr>
          <w:rFonts w:asciiTheme="minorHAnsi" w:hAnsiTheme="minorHAnsi" w:cstheme="minorHAnsi"/>
        </w:rPr>
        <w:t xml:space="preserve"> Podpořené projekty v rámci OP 4.2</w:t>
      </w:r>
    </w:p>
    <w:p w:rsidR="006079F0" w:rsidRPr="00140380" w:rsidRDefault="008C12E6" w:rsidP="003B2C6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140380">
        <w:rPr>
          <w:rFonts w:asciiTheme="minorHAnsi" w:hAnsiTheme="minorHAnsi" w:cstheme="minorHAnsi"/>
          <w:b/>
        </w:rPr>
        <w:t xml:space="preserve">Tabulka 11: </w:t>
      </w:r>
      <w:r w:rsidRPr="00140380">
        <w:rPr>
          <w:rFonts w:asciiTheme="minorHAnsi" w:hAnsiTheme="minorHAnsi" w:cstheme="minorHAnsi"/>
        </w:rPr>
        <w:t>Vypsané výzvy v roce 2015 dle jednotlivých specifických cílů (SC)</w:t>
      </w:r>
    </w:p>
    <w:p w:rsidR="006079F0" w:rsidRPr="00140380" w:rsidRDefault="008C12E6" w:rsidP="003B2C61">
      <w:pPr>
        <w:spacing w:after="120" w:line="276" w:lineRule="auto"/>
        <w:rPr>
          <w:rFonts w:eastAsia="Calibri" w:cstheme="minorHAnsi"/>
          <w:color w:val="000000"/>
          <w:szCs w:val="24"/>
        </w:rPr>
      </w:pPr>
      <w:r w:rsidRPr="00140380">
        <w:rPr>
          <w:rFonts w:cstheme="minorHAnsi"/>
          <w:b/>
        </w:rPr>
        <w:t xml:space="preserve">Tabulka 12: </w:t>
      </w:r>
      <w:r w:rsidRPr="00140380">
        <w:rPr>
          <w:rFonts w:cstheme="minorHAnsi"/>
        </w:rPr>
        <w:t>Vypsané výzvy v roce 2016 dle jednotlivých specifických cílů (SC)</w:t>
      </w:r>
    </w:p>
    <w:p w:rsidR="00D106A1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1</w:t>
      </w:r>
      <w:r w:rsidRPr="00140380">
        <w:rPr>
          <w:rFonts w:cstheme="minorHAnsi"/>
          <w:b/>
        </w:rPr>
        <w:t>3:</w:t>
      </w:r>
      <w:r w:rsidR="00140380" w:rsidRPr="00140380">
        <w:rPr>
          <w:rFonts w:cstheme="minorHAnsi"/>
          <w:b/>
        </w:rPr>
        <w:t xml:space="preserve"> </w:t>
      </w:r>
      <w:r w:rsidR="00140380" w:rsidRPr="00140380">
        <w:rPr>
          <w:rFonts w:cstheme="minorHAnsi"/>
        </w:rPr>
        <w:t>Vypsané výzvy v roce 2017 dle jednotlivých specifických cílů (SC)</w:t>
      </w:r>
    </w:p>
    <w:p w:rsidR="00D106A1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14:</w:t>
      </w:r>
      <w:r w:rsidR="00140380" w:rsidRPr="00140380">
        <w:rPr>
          <w:rFonts w:cstheme="minorHAnsi"/>
          <w:b/>
        </w:rPr>
        <w:t xml:space="preserve"> </w:t>
      </w:r>
      <w:r w:rsidR="00140380" w:rsidRPr="00140380">
        <w:rPr>
          <w:rFonts w:cstheme="minorHAnsi"/>
        </w:rPr>
        <w:t>Vypsané výzvy v roce 2018 dle jednotlivých specifických cílů (SC)</w:t>
      </w:r>
    </w:p>
    <w:p w:rsidR="00D106A1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15:</w:t>
      </w:r>
      <w:r w:rsidR="00140380" w:rsidRPr="00140380">
        <w:rPr>
          <w:rFonts w:cstheme="minorHAnsi"/>
          <w:b/>
        </w:rPr>
        <w:t xml:space="preserve"> </w:t>
      </w:r>
      <w:r w:rsidR="00140380" w:rsidRPr="00140380">
        <w:rPr>
          <w:rFonts w:cstheme="minorHAnsi"/>
        </w:rPr>
        <w:t>Vypsané výzvy v roce 2019 dle jednotlivých specifických cílů (SC)</w:t>
      </w:r>
    </w:p>
    <w:p w:rsidR="00140380" w:rsidRPr="00140380" w:rsidRDefault="008C12E6" w:rsidP="003B2C6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140380">
        <w:rPr>
          <w:rFonts w:asciiTheme="minorHAnsi" w:hAnsiTheme="minorHAnsi" w:cstheme="minorHAnsi"/>
          <w:b/>
        </w:rPr>
        <w:t xml:space="preserve">Tabulka 16: </w:t>
      </w:r>
      <w:r w:rsidRPr="00140380">
        <w:rPr>
          <w:rFonts w:asciiTheme="minorHAnsi" w:hAnsiTheme="minorHAnsi" w:cstheme="minorHAnsi"/>
        </w:rPr>
        <w:t>Vypsané výzvy v roc</w:t>
      </w:r>
      <w:r w:rsidRPr="00140380">
        <w:rPr>
          <w:rFonts w:asciiTheme="minorHAnsi" w:hAnsiTheme="minorHAnsi" w:cstheme="minorHAnsi"/>
        </w:rPr>
        <w:t>e 2020 dle jednotlivých specifických cílů (SC)</w:t>
      </w:r>
    </w:p>
    <w:p w:rsidR="006079F0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17:</w:t>
      </w:r>
      <w:r w:rsidR="00140380" w:rsidRPr="00140380">
        <w:rPr>
          <w:rFonts w:cstheme="minorHAnsi"/>
        </w:rPr>
        <w:t xml:space="preserve"> </w:t>
      </w:r>
      <w:r w:rsidR="00140380" w:rsidRPr="00140380">
        <w:rPr>
          <w:rFonts w:cstheme="minorHAnsi"/>
          <w:bCs/>
        </w:rPr>
        <w:t xml:space="preserve">Národní program označování ekologicky šetrných výrobků a služeb ochrannou známkou – ekoznačkou Ekologicky šetrný výrobek/Ekologicky šetrná služba </w:t>
      </w:r>
    </w:p>
    <w:p w:rsidR="006079F0" w:rsidRPr="00140380" w:rsidRDefault="008C12E6" w:rsidP="003B2C61">
      <w:pPr>
        <w:spacing w:after="120" w:line="276" w:lineRule="auto"/>
        <w:rPr>
          <w:rFonts w:cstheme="minorHAnsi"/>
        </w:rPr>
      </w:pPr>
      <w:r w:rsidRPr="00140380">
        <w:rPr>
          <w:rFonts w:cstheme="minorHAnsi"/>
          <w:b/>
        </w:rPr>
        <w:t>Tabulka 18:</w:t>
      </w:r>
      <w:r w:rsidR="00140380" w:rsidRPr="00140380">
        <w:rPr>
          <w:rFonts w:cstheme="minorHAnsi"/>
        </w:rPr>
        <w:t xml:space="preserve"> Celkový počet udělených registrací EMAS v období </w:t>
      </w:r>
      <w:r w:rsidR="00C1329D" w:rsidRPr="00140380">
        <w:rPr>
          <w:rFonts w:cstheme="minorHAnsi"/>
        </w:rPr>
        <w:t>2019</w:t>
      </w:r>
      <w:r w:rsidR="00C1329D">
        <w:rPr>
          <w:rFonts w:cstheme="minorHAnsi"/>
        </w:rPr>
        <w:t>–2020</w:t>
      </w:r>
    </w:p>
    <w:p w:rsidR="00F356F3" w:rsidRPr="00140380" w:rsidRDefault="008C12E6" w:rsidP="000340D1">
      <w:pPr>
        <w:spacing w:after="60" w:line="276" w:lineRule="auto"/>
        <w:rPr>
          <w:rFonts w:cstheme="minorHAnsi"/>
        </w:rPr>
      </w:pPr>
      <w:r w:rsidRPr="00140380">
        <w:rPr>
          <w:rFonts w:cstheme="minorHAnsi"/>
        </w:rPr>
        <w:br w:type="page"/>
      </w:r>
    </w:p>
    <w:p w:rsidR="00407040" w:rsidRPr="00D65E0D" w:rsidRDefault="008C12E6" w:rsidP="00F60F3E">
      <w:pPr>
        <w:tabs>
          <w:tab w:val="left" w:pos="912"/>
        </w:tabs>
        <w:autoSpaceDE w:val="0"/>
        <w:autoSpaceDN w:val="0"/>
        <w:adjustRightInd w:val="0"/>
        <w:spacing w:after="120" w:line="276" w:lineRule="auto"/>
        <w:rPr>
          <w:b/>
        </w:rPr>
      </w:pPr>
      <w:r w:rsidRPr="00D65E0D">
        <w:rPr>
          <w:b/>
        </w:rPr>
        <w:lastRenderedPageBreak/>
        <w:t xml:space="preserve">Grafy: </w:t>
      </w:r>
    </w:p>
    <w:p w:rsidR="004300BD" w:rsidRPr="004300BD" w:rsidRDefault="008C12E6" w:rsidP="003B2C61">
      <w:pPr>
        <w:spacing w:after="120" w:line="276" w:lineRule="auto"/>
      </w:pPr>
      <w:r w:rsidRPr="00D65E0D">
        <w:rPr>
          <w:b/>
        </w:rPr>
        <w:t>Graf 1:</w:t>
      </w:r>
      <w:r w:rsidRPr="00D65E0D">
        <w:t xml:space="preserve"> Celková</w:t>
      </w:r>
      <w:r w:rsidRPr="004300BD">
        <w:t xml:space="preserve"> produkce odpadů, celková produkce ostatních a nebezpečných odpadů v ČR [tis. t], celková produkce odpadů na obyvatele, celková produkce ostatních a nebezpečných odpadů na obyvatele v ČR [kg.obyv.-1], </w:t>
      </w:r>
      <w:r w:rsidR="00C1329D" w:rsidRPr="004300BD">
        <w:t>2009–2020</w:t>
      </w:r>
    </w:p>
    <w:p w:rsidR="004300BD" w:rsidRPr="004300BD" w:rsidRDefault="008C12E6" w:rsidP="003B2C61">
      <w:pPr>
        <w:spacing w:after="120" w:line="276" w:lineRule="auto"/>
      </w:pPr>
      <w:r w:rsidRPr="00F60F3E">
        <w:rPr>
          <w:b/>
        </w:rPr>
        <w:t>Graf 2:</w:t>
      </w:r>
      <w:r w:rsidRPr="004300BD">
        <w:t xml:space="preserve"> Podíl vybraných způsobů nakládání s odpady na celkové produkci odpadů v ČR [%], 2009-2020</w:t>
      </w:r>
    </w:p>
    <w:p w:rsidR="004300BD" w:rsidRPr="00D65E0D" w:rsidRDefault="008C12E6" w:rsidP="003B2C61">
      <w:pPr>
        <w:spacing w:after="120" w:line="276" w:lineRule="auto"/>
      </w:pPr>
      <w:r w:rsidRPr="00F60F3E">
        <w:rPr>
          <w:b/>
        </w:rPr>
        <w:t>Graf 3:</w:t>
      </w:r>
      <w:r>
        <w:t xml:space="preserve"> </w:t>
      </w:r>
      <w:r w:rsidRPr="004300BD">
        <w:t>Celková produkce komunálních odpadů v ČR [tis. t], produkce komunálního a</w:t>
      </w:r>
      <w:r w:rsidR="00F60F3E">
        <w:t> </w:t>
      </w:r>
      <w:r w:rsidRPr="00D65E0D">
        <w:t>směsného komunálního odpadu v přepočtu na obyvatele v ČR [kg.obyv.-1], 2009</w:t>
      </w:r>
      <w:r w:rsidRPr="00D65E0D">
        <w:t>-2020</w:t>
      </w:r>
    </w:p>
    <w:p w:rsidR="004300BD" w:rsidRPr="00EA54D8" w:rsidRDefault="008C12E6" w:rsidP="003B2C61">
      <w:pPr>
        <w:spacing w:after="120" w:line="276" w:lineRule="auto"/>
      </w:pPr>
      <w:r w:rsidRPr="00D65E0D">
        <w:rPr>
          <w:b/>
        </w:rPr>
        <w:t>Graf 4:</w:t>
      </w:r>
      <w:r w:rsidRPr="00D65E0D">
        <w:t xml:space="preserve"> </w:t>
      </w:r>
      <w:r w:rsidRPr="00EA54D8">
        <w:t xml:space="preserve">Využití obalových odpadů v ČR [tis. t], </w:t>
      </w:r>
      <w:r w:rsidR="00C1329D" w:rsidRPr="00EA54D8">
        <w:t>2009–2020</w:t>
      </w:r>
    </w:p>
    <w:p w:rsidR="00367123" w:rsidRPr="00367123" w:rsidRDefault="008C12E6" w:rsidP="003B2C61">
      <w:pPr>
        <w:spacing w:after="120"/>
      </w:pPr>
      <w:r>
        <w:rPr>
          <w:b/>
        </w:rPr>
        <w:t xml:space="preserve">Graf 5: </w:t>
      </w:r>
      <w:r w:rsidRPr="00367123">
        <w:t xml:space="preserve">Vývoj zpětného odběru vybraných výrobků v ČR [%], </w:t>
      </w:r>
      <w:r w:rsidR="00C1329D" w:rsidRPr="00367123">
        <w:t>2009</w:t>
      </w:r>
      <w:r w:rsidR="00C1329D">
        <w:t>–2020</w:t>
      </w:r>
    </w:p>
    <w:p w:rsidR="00367123" w:rsidRPr="00367123" w:rsidRDefault="008C12E6" w:rsidP="003B2C61">
      <w:pPr>
        <w:spacing w:after="120" w:line="276" w:lineRule="auto"/>
      </w:pPr>
      <w:r w:rsidRPr="00367123">
        <w:rPr>
          <w:b/>
        </w:rPr>
        <w:t>Graf 6:</w:t>
      </w:r>
      <w:r w:rsidRPr="00367123">
        <w:t xml:space="preserve"> Počet zpracovaných vybraných autovraků podle systému MA ISOH v ČR [tis. ks], </w:t>
      </w:r>
      <w:r w:rsidR="00C1329D" w:rsidRPr="00367123">
        <w:t>2012–2020</w:t>
      </w:r>
    </w:p>
    <w:p w:rsidR="00EA54D8" w:rsidRDefault="00EA54D8" w:rsidP="00D96B46">
      <w:pPr>
        <w:spacing w:after="60" w:line="276" w:lineRule="auto"/>
        <w:rPr>
          <w:b/>
        </w:rPr>
      </w:pPr>
    </w:p>
    <w:p w:rsidR="00B90D24" w:rsidRDefault="00B90D24" w:rsidP="00F60F3E">
      <w:pPr>
        <w:spacing w:after="120" w:line="276" w:lineRule="auto"/>
        <w:jc w:val="left"/>
      </w:pPr>
    </w:p>
    <w:p w:rsidR="00F60F3E" w:rsidRPr="00F60F3E" w:rsidRDefault="008C12E6" w:rsidP="00F60F3E">
      <w:pPr>
        <w:spacing w:after="120" w:line="276" w:lineRule="auto"/>
        <w:rPr>
          <w:b/>
        </w:rPr>
      </w:pPr>
      <w:r w:rsidRPr="00F60F3E">
        <w:rPr>
          <w:b/>
        </w:rPr>
        <w:t xml:space="preserve">Obrázky: </w:t>
      </w:r>
    </w:p>
    <w:p w:rsidR="00F60F3E" w:rsidRPr="00F60F3E" w:rsidRDefault="008C12E6" w:rsidP="003B2C61">
      <w:pPr>
        <w:spacing w:after="120" w:line="276" w:lineRule="auto"/>
      </w:pPr>
      <w:r w:rsidRPr="00F60F3E">
        <w:rPr>
          <w:b/>
        </w:rPr>
        <w:t>Obr. 1:</w:t>
      </w:r>
      <w:r w:rsidRPr="00F60F3E">
        <w:t xml:space="preserve"> Celková produkce odpadů, celková produkce ostatních a nebezpečných odpadů v</w:t>
      </w:r>
      <w:r>
        <w:t> </w:t>
      </w:r>
      <w:r w:rsidRPr="00F60F3E">
        <w:t>krajích ČR [tis. t], celková produkce odpadů na obyvatele v krajích ČR [kg.obyv.</w:t>
      </w:r>
      <w:r w:rsidRPr="00F60F3E">
        <w:rPr>
          <w:vertAlign w:val="superscript"/>
        </w:rPr>
        <w:t>-1</w:t>
      </w:r>
      <w:r w:rsidRPr="00F60F3E">
        <w:t>], 2020</w:t>
      </w:r>
    </w:p>
    <w:p w:rsidR="00F60F3E" w:rsidRPr="00F60F3E" w:rsidRDefault="008C12E6" w:rsidP="003B2C61">
      <w:pPr>
        <w:spacing w:after="120" w:line="276" w:lineRule="auto"/>
      </w:pPr>
      <w:r w:rsidRPr="00F60F3E">
        <w:rPr>
          <w:b/>
        </w:rPr>
        <w:t>Obr. 2:</w:t>
      </w:r>
      <w:r w:rsidRPr="00F60F3E">
        <w:t xml:space="preserve"> Celková produkce komunálních odpadů v krajích ČR, produkce směsného komunálního odpadu v krajích ČR [tis. t], produkce komunálních odpadů na obyvatele v krajích ČR [</w:t>
      </w:r>
      <w:proofErr w:type="spellStart"/>
      <w:r w:rsidRPr="00F60F3E">
        <w:t>kg.obyv</w:t>
      </w:r>
      <w:proofErr w:type="spellEnd"/>
      <w:r w:rsidRPr="00F60F3E">
        <w:t>.</w:t>
      </w:r>
      <w:proofErr w:type="gramStart"/>
      <w:r w:rsidRPr="00D96B46">
        <w:rPr>
          <w:vertAlign w:val="superscript"/>
        </w:rPr>
        <w:t>-</w:t>
      </w:r>
      <w:r w:rsidR="004D4CB7">
        <w:rPr>
          <w:vertAlign w:val="superscript"/>
        </w:rPr>
        <w:t> </w:t>
      </w:r>
      <w:r w:rsidRPr="00F60F3E">
        <w:t>]</w:t>
      </w:r>
      <w:proofErr w:type="gramEnd"/>
      <w:r w:rsidRPr="00F60F3E">
        <w:t>, 2020</w:t>
      </w:r>
    </w:p>
    <w:p w:rsidR="00F60F3E" w:rsidRPr="00F60F3E" w:rsidRDefault="00F60F3E" w:rsidP="00F60F3E">
      <w:pPr>
        <w:spacing w:line="276" w:lineRule="auto"/>
      </w:pPr>
    </w:p>
    <w:p w:rsidR="00B90D24" w:rsidRPr="00C777BE" w:rsidRDefault="00B90D24" w:rsidP="00B90D24">
      <w:pPr>
        <w:spacing w:after="120" w:line="276" w:lineRule="auto"/>
        <w:jc w:val="left"/>
      </w:pPr>
    </w:p>
    <w:p w:rsidR="00A078C9" w:rsidRPr="00C777BE" w:rsidRDefault="00A078C9" w:rsidP="00617024">
      <w:pPr>
        <w:spacing w:after="120" w:line="276" w:lineRule="auto"/>
        <w:jc w:val="left"/>
      </w:pPr>
    </w:p>
    <w:p w:rsidR="00A078C9" w:rsidRDefault="008C12E6" w:rsidP="00617024">
      <w:pPr>
        <w:tabs>
          <w:tab w:val="left" w:pos="912"/>
        </w:tabs>
        <w:autoSpaceDE w:val="0"/>
        <w:autoSpaceDN w:val="0"/>
        <w:adjustRightInd w:val="0"/>
        <w:spacing w:after="120" w:line="276" w:lineRule="auto"/>
        <w:jc w:val="left"/>
      </w:pPr>
      <w:r>
        <w:t xml:space="preserve"> </w:t>
      </w:r>
    </w:p>
    <w:p w:rsidR="00F356F3" w:rsidRDefault="00F356F3" w:rsidP="008431FC">
      <w:pPr>
        <w:tabs>
          <w:tab w:val="left" w:pos="912"/>
        </w:tabs>
        <w:autoSpaceDE w:val="0"/>
        <w:autoSpaceDN w:val="0"/>
        <w:adjustRightInd w:val="0"/>
        <w:spacing w:after="120" w:line="276" w:lineRule="auto"/>
      </w:pPr>
    </w:p>
    <w:p w:rsidR="0072676F" w:rsidRDefault="008C12E6">
      <w:pPr>
        <w:spacing w:after="200" w:line="276" w:lineRule="auto"/>
        <w:jc w:val="left"/>
      </w:pPr>
      <w:r>
        <w:br w:type="page"/>
      </w:r>
    </w:p>
    <w:p w:rsidR="0072676F" w:rsidRDefault="008C12E6" w:rsidP="0072676F">
      <w:pPr>
        <w:pStyle w:val="Nadpis20"/>
        <w:ind w:left="567"/>
      </w:pPr>
      <w:bookmarkStart w:id="41" w:name="_Toc256000015"/>
      <w:r>
        <w:lastRenderedPageBreak/>
        <w:t>Seznam zkratek</w:t>
      </w:r>
      <w:bookmarkEnd w:id="41"/>
      <w:r>
        <w:t xml:space="preserve"> </w:t>
      </w:r>
    </w:p>
    <w:p w:rsidR="0072676F" w:rsidRDefault="0072676F" w:rsidP="008431FC">
      <w:pPr>
        <w:tabs>
          <w:tab w:val="left" w:pos="912"/>
        </w:tabs>
        <w:autoSpaceDE w:val="0"/>
        <w:autoSpaceDN w:val="0"/>
        <w:adjustRightInd w:val="0"/>
        <w:spacing w:after="120"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E5173" w:rsidTr="00C077A9">
        <w:trPr>
          <w:trHeight w:val="4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2676F" w:rsidRPr="00BE5D2A" w:rsidRDefault="008C12E6" w:rsidP="00ED64C9">
            <w:pPr>
              <w:rPr>
                <w:b/>
              </w:rPr>
            </w:pPr>
            <w:r w:rsidRPr="00BE5D2A">
              <w:rPr>
                <w:b/>
              </w:rPr>
              <w:t>Zkratka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72676F" w:rsidRPr="00BE5D2A" w:rsidRDefault="008C12E6" w:rsidP="00ED64C9">
            <w:pPr>
              <w:rPr>
                <w:b/>
              </w:rPr>
            </w:pPr>
            <w:r w:rsidRPr="00BE5D2A">
              <w:rPr>
                <w:b/>
              </w:rPr>
              <w:t>Vysvětlení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POH ČR</w:t>
            </w:r>
          </w:p>
        </w:tc>
        <w:tc>
          <w:tcPr>
            <w:tcW w:w="7505" w:type="dxa"/>
            <w:vAlign w:val="center"/>
          </w:tcPr>
          <w:p w:rsidR="0072676F" w:rsidRDefault="008C12E6" w:rsidP="00ED64C9">
            <w:r w:rsidRPr="0038748D">
              <w:rPr>
                <w:rFonts w:ascii="Calibri" w:hAnsi="Calibri" w:cs="Tahoma"/>
                <w:bCs/>
              </w:rPr>
              <w:t xml:space="preserve">Plán odpadového hospodářství České republiky pro období </w:t>
            </w:r>
            <w:r w:rsidR="00C1329D" w:rsidRPr="0038748D">
              <w:rPr>
                <w:rFonts w:ascii="Calibri" w:hAnsi="Calibri" w:cs="Tahoma"/>
                <w:bCs/>
              </w:rPr>
              <w:t>2015–2024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 xml:space="preserve">ČR </w:t>
            </w:r>
          </w:p>
        </w:tc>
        <w:tc>
          <w:tcPr>
            <w:tcW w:w="7505" w:type="dxa"/>
            <w:vAlign w:val="center"/>
          </w:tcPr>
          <w:p w:rsidR="0072676F" w:rsidRDefault="008C12E6" w:rsidP="00ED64C9">
            <w:r w:rsidRPr="0038748D">
              <w:rPr>
                <w:rFonts w:ascii="Calibri" w:hAnsi="Calibri" w:cs="Tahoma"/>
                <w:bCs/>
              </w:rPr>
              <w:t>Česk</w:t>
            </w:r>
            <w:r>
              <w:rPr>
                <w:rFonts w:ascii="Calibri" w:hAnsi="Calibri" w:cs="Tahoma"/>
                <w:bCs/>
              </w:rPr>
              <w:t>á</w:t>
            </w:r>
            <w:r w:rsidRPr="0038748D">
              <w:rPr>
                <w:rFonts w:ascii="Calibri" w:hAnsi="Calibri" w:cs="Tahoma"/>
                <w:bCs/>
              </w:rPr>
              <w:t xml:space="preserve"> republik</w:t>
            </w:r>
            <w:r>
              <w:rPr>
                <w:rFonts w:ascii="Calibri" w:hAnsi="Calibri" w:cs="Tahoma"/>
                <w:bCs/>
              </w:rPr>
              <w:t>a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MŽP</w:t>
            </w:r>
          </w:p>
        </w:tc>
        <w:tc>
          <w:tcPr>
            <w:tcW w:w="7505" w:type="dxa"/>
            <w:vAlign w:val="center"/>
          </w:tcPr>
          <w:p w:rsidR="0072676F" w:rsidRDefault="008C12E6" w:rsidP="00ED64C9">
            <w:r w:rsidRPr="0038748D">
              <w:rPr>
                <w:rFonts w:ascii="Calibri" w:hAnsi="Calibri" w:cs="Calibri"/>
                <w:color w:val="000000"/>
                <w:szCs w:val="24"/>
              </w:rPr>
              <w:t>Ministerstvo životního prostředí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5B4EE6" w:rsidRDefault="008C12E6" w:rsidP="00ED64C9">
            <w:r>
              <w:t>MPO</w:t>
            </w:r>
          </w:p>
        </w:tc>
        <w:tc>
          <w:tcPr>
            <w:tcW w:w="7505" w:type="dxa"/>
            <w:vAlign w:val="center"/>
          </w:tcPr>
          <w:p w:rsidR="005B4EE6" w:rsidRPr="0038748D" w:rsidRDefault="008C12E6" w:rsidP="005B4EE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Ministerstvo průmyslu a obchodu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EU</w:t>
            </w:r>
          </w:p>
        </w:tc>
        <w:tc>
          <w:tcPr>
            <w:tcW w:w="7505" w:type="dxa"/>
            <w:vAlign w:val="center"/>
          </w:tcPr>
          <w:p w:rsidR="0072676F" w:rsidRDefault="008C12E6" w:rsidP="00ED64C9">
            <w:r>
              <w:t>Evropská unie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OPŽP</w:t>
            </w:r>
          </w:p>
        </w:tc>
        <w:tc>
          <w:tcPr>
            <w:tcW w:w="7505" w:type="dxa"/>
            <w:vAlign w:val="center"/>
          </w:tcPr>
          <w:p w:rsidR="0072676F" w:rsidRDefault="008C12E6" w:rsidP="00ED64C9">
            <w:r w:rsidRPr="00144737">
              <w:t>Operační program Životní prostředí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B70B57" w:rsidRDefault="008C12E6" w:rsidP="00ED64C9">
            <w:r>
              <w:t>TAČR</w:t>
            </w:r>
          </w:p>
        </w:tc>
        <w:tc>
          <w:tcPr>
            <w:tcW w:w="7505" w:type="dxa"/>
            <w:vAlign w:val="center"/>
          </w:tcPr>
          <w:p w:rsidR="00B70B57" w:rsidRPr="00144737" w:rsidRDefault="008C12E6" w:rsidP="003C1261">
            <w:r w:rsidRPr="00B70B57">
              <w:t>Technologick</w:t>
            </w:r>
            <w:r w:rsidR="003C1261">
              <w:t>á</w:t>
            </w:r>
            <w:r w:rsidRPr="00B70B57">
              <w:t xml:space="preserve"> agentur</w:t>
            </w:r>
            <w:r w:rsidR="003C1261">
              <w:t>a</w:t>
            </w:r>
            <w:r w:rsidRPr="00B70B57">
              <w:t xml:space="preserve"> České republiky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SEPNO</w:t>
            </w:r>
          </w:p>
        </w:tc>
        <w:tc>
          <w:tcPr>
            <w:tcW w:w="7505" w:type="dxa"/>
            <w:vAlign w:val="center"/>
          </w:tcPr>
          <w:p w:rsidR="0072676F" w:rsidRDefault="008C12E6" w:rsidP="00ED64C9">
            <w:r w:rsidRPr="00144737">
              <w:rPr>
                <w:bCs/>
              </w:rPr>
              <w:t>Systém evidence přepravy nebezpečných odpadů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ČIŽP</w:t>
            </w:r>
          </w:p>
        </w:tc>
        <w:tc>
          <w:tcPr>
            <w:tcW w:w="7505" w:type="dxa"/>
            <w:vAlign w:val="center"/>
          </w:tcPr>
          <w:p w:rsidR="0072676F" w:rsidRDefault="008C12E6" w:rsidP="00ED64C9">
            <w:r w:rsidRPr="00144737">
              <w:t>Česk</w:t>
            </w:r>
            <w:r>
              <w:t>á</w:t>
            </w:r>
            <w:r w:rsidRPr="00144737">
              <w:t xml:space="preserve"> inspekce životního prostředí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144737">
              <w:rPr>
                <w:bCs/>
              </w:rPr>
              <w:t>BRKO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rPr>
                <w:bCs/>
              </w:rPr>
              <w:t>B</w:t>
            </w:r>
            <w:r w:rsidRPr="00144737">
              <w:rPr>
                <w:bCs/>
              </w:rPr>
              <w:t xml:space="preserve">iologicky rozložitelných komunálních odpadů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FB301D">
              <w:rPr>
                <w:bCs/>
              </w:rPr>
              <w:t>HBCDD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proofErr w:type="spellStart"/>
            <w:proofErr w:type="gramStart"/>
            <w:r>
              <w:rPr>
                <w:bCs/>
              </w:rPr>
              <w:t>H</w:t>
            </w:r>
            <w:r w:rsidRPr="00FB301D">
              <w:rPr>
                <w:bCs/>
              </w:rPr>
              <w:t>exabromcyklododekan</w:t>
            </w:r>
            <w:proofErr w:type="spellEnd"/>
            <w:r w:rsidRPr="00FB301D">
              <w:rPr>
                <w:bCs/>
              </w:rPr>
              <w:t xml:space="preserve"> - látka</w:t>
            </w:r>
            <w:proofErr w:type="gramEnd"/>
            <w:r w:rsidRPr="00FB301D">
              <w:rPr>
                <w:bCs/>
              </w:rPr>
              <w:t xml:space="preserve"> zpomalující hoření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FB301D">
              <w:t>ISPOP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FB301D">
              <w:t>Integrovan</w:t>
            </w:r>
            <w:r>
              <w:t>ý</w:t>
            </w:r>
            <w:r w:rsidRPr="00FB301D">
              <w:t xml:space="preserve"> systém plnění ohlašovacích povinností v oblasti životního prostředí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ISOH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502F51">
              <w:t>Informační systém odpadového hospodářství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502F51">
              <w:t>MA ISOH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502F51">
              <w:t xml:space="preserve">Modul Autovraky Informačního systému odpadového hospodářství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502F51">
              <w:rPr>
                <w:bCs/>
              </w:rPr>
              <w:t>SFŽP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rPr>
                <w:bCs/>
              </w:rPr>
              <w:t xml:space="preserve">Státní fond životního prostředí </w:t>
            </w:r>
            <w:r w:rsidR="00617024">
              <w:rPr>
                <w:bCs/>
              </w:rPr>
              <w:t>České republiky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BE5D2A">
              <w:rPr>
                <w:bCs/>
              </w:rPr>
              <w:t>ČOV</w:t>
            </w:r>
          </w:p>
        </w:tc>
        <w:tc>
          <w:tcPr>
            <w:tcW w:w="7505" w:type="dxa"/>
            <w:vAlign w:val="center"/>
          </w:tcPr>
          <w:p w:rsidR="0072676F" w:rsidRPr="00BE5D2A" w:rsidRDefault="008C12E6" w:rsidP="00ED64C9">
            <w:r>
              <w:rPr>
                <w:bCs/>
              </w:rPr>
              <w:t>Č</w:t>
            </w:r>
            <w:r w:rsidRPr="00BE5D2A">
              <w:rPr>
                <w:bCs/>
              </w:rPr>
              <w:t>istír</w:t>
            </w:r>
            <w:r>
              <w:rPr>
                <w:bCs/>
              </w:rPr>
              <w:t>na</w:t>
            </w:r>
            <w:r w:rsidRPr="00BE5D2A">
              <w:rPr>
                <w:bCs/>
              </w:rPr>
              <w:t xml:space="preserve"> odpadních vod 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proofErr w:type="spellStart"/>
            <w:r w:rsidRPr="00FB301D">
              <w:rPr>
                <w:bCs/>
              </w:rPr>
              <w:t>POPs</w:t>
            </w:r>
            <w:proofErr w:type="spellEnd"/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rPr>
                <w:bCs/>
              </w:rPr>
              <w:t>P</w:t>
            </w:r>
            <w:r w:rsidRPr="00FB301D">
              <w:rPr>
                <w:bCs/>
              </w:rPr>
              <w:t>erzistentní organické znečišťující látky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EB44C3">
              <w:rPr>
                <w:rFonts w:cstheme="minorHAnsi"/>
                <w:szCs w:val="24"/>
              </w:rPr>
              <w:t>PCB</w:t>
            </w:r>
            <w:r>
              <w:rPr>
                <w:rFonts w:cstheme="minorHAnsi"/>
                <w:szCs w:val="24"/>
              </w:rPr>
              <w:t xml:space="preserve"> </w:t>
            </w:r>
            <w:r w:rsidRPr="00EB44C3">
              <w:rPr>
                <w:rFonts w:cstheme="minorHAnsi"/>
                <w:szCs w:val="24"/>
              </w:rPr>
              <w:t>/</w:t>
            </w:r>
            <w:r>
              <w:rPr>
                <w:rFonts w:cstheme="minorHAnsi"/>
                <w:szCs w:val="24"/>
              </w:rPr>
              <w:t xml:space="preserve"> </w:t>
            </w:r>
            <w:r w:rsidRPr="00EB44C3">
              <w:rPr>
                <w:rFonts w:cstheme="minorHAnsi"/>
                <w:szCs w:val="24"/>
              </w:rPr>
              <w:t>PCT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t>P</w:t>
            </w:r>
            <w:r w:rsidRPr="00EB44C3">
              <w:rPr>
                <w:rFonts w:cstheme="minorHAnsi"/>
                <w:szCs w:val="24"/>
              </w:rPr>
              <w:t>olychlorovan</w:t>
            </w:r>
            <w:r>
              <w:rPr>
                <w:rFonts w:cstheme="minorHAnsi"/>
                <w:szCs w:val="24"/>
              </w:rPr>
              <w:t>é</w:t>
            </w:r>
            <w:r w:rsidRPr="00EB44C3">
              <w:rPr>
                <w:rFonts w:cstheme="minorHAnsi"/>
                <w:szCs w:val="24"/>
              </w:rPr>
              <w:t xml:space="preserve"> bifenyl</w:t>
            </w:r>
            <w:r>
              <w:rPr>
                <w:rFonts w:cstheme="minorHAnsi"/>
                <w:szCs w:val="24"/>
              </w:rPr>
              <w:t>y</w:t>
            </w:r>
            <w:r w:rsidRPr="00EB44C3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/ </w:t>
            </w:r>
            <w:r w:rsidRPr="00EB44C3">
              <w:rPr>
                <w:rFonts w:cstheme="minorHAnsi"/>
                <w:szCs w:val="24"/>
              </w:rPr>
              <w:t>polychlorovan</w:t>
            </w:r>
            <w:r>
              <w:rPr>
                <w:rFonts w:cstheme="minorHAnsi"/>
                <w:szCs w:val="24"/>
              </w:rPr>
              <w:t>é</w:t>
            </w:r>
            <w:r w:rsidRPr="00EB44C3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B44C3">
              <w:rPr>
                <w:rFonts w:cstheme="minorHAnsi"/>
                <w:szCs w:val="24"/>
              </w:rPr>
              <w:t>terfenyl</w:t>
            </w:r>
            <w:r>
              <w:rPr>
                <w:rFonts w:cstheme="minorHAnsi"/>
                <w:szCs w:val="24"/>
              </w:rPr>
              <w:t>y</w:t>
            </w:r>
            <w:proofErr w:type="spellEnd"/>
            <w:r w:rsidRPr="00EB44C3">
              <w:rPr>
                <w:rFonts w:cstheme="minorHAnsi"/>
                <w:szCs w:val="24"/>
              </w:rPr>
              <w:t xml:space="preserve">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EB44C3">
              <w:rPr>
                <w:rFonts w:cstheme="minorHAnsi"/>
                <w:szCs w:val="24"/>
              </w:rPr>
              <w:t>RECETOX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EB44C3">
              <w:rPr>
                <w:rFonts w:cstheme="minorHAnsi"/>
                <w:szCs w:val="24"/>
              </w:rPr>
              <w:t>Centr</w:t>
            </w:r>
            <w:r>
              <w:rPr>
                <w:rFonts w:cstheme="minorHAnsi"/>
                <w:szCs w:val="24"/>
              </w:rPr>
              <w:t>um</w:t>
            </w:r>
            <w:r w:rsidRPr="00EB44C3">
              <w:rPr>
                <w:rFonts w:cstheme="minorHAnsi"/>
                <w:szCs w:val="24"/>
              </w:rPr>
              <w:t xml:space="preserve"> pro výzkum toxických látek v prostředí Masarykovy univerzity v</w:t>
            </w:r>
            <w:r w:rsidR="00C0326A">
              <w:rPr>
                <w:rFonts w:cstheme="minorHAnsi"/>
                <w:szCs w:val="24"/>
              </w:rPr>
              <w:t> </w:t>
            </w:r>
            <w:r w:rsidRPr="00EB44C3">
              <w:rPr>
                <w:rFonts w:cstheme="minorHAnsi"/>
                <w:szCs w:val="24"/>
              </w:rPr>
              <w:t>Brně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5E058E">
              <w:t>SEKM</w:t>
            </w:r>
          </w:p>
        </w:tc>
        <w:tc>
          <w:tcPr>
            <w:tcW w:w="7505" w:type="dxa"/>
            <w:vAlign w:val="center"/>
          </w:tcPr>
          <w:p w:rsidR="0072676F" w:rsidRPr="005E058E" w:rsidRDefault="008C12E6" w:rsidP="00ED64C9">
            <w:r w:rsidRPr="005E058E">
              <w:t xml:space="preserve">Systém evidence kontaminovaných míst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786685">
              <w:t>NIKM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786685">
              <w:t xml:space="preserve">Národní inventarizace kontaminovaných míst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786685">
              <w:t>NPŽP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786685">
              <w:t xml:space="preserve">Národní program Životní prostředí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OP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t>Oblast podpory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SC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t>Specifický cíl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786685">
              <w:t>BAT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t>N</w:t>
            </w:r>
            <w:r w:rsidRPr="00786685">
              <w:t>ejlepší dostupn</w:t>
            </w:r>
            <w:r>
              <w:t>é</w:t>
            </w:r>
            <w:r w:rsidRPr="00786685">
              <w:t xml:space="preserve"> technik</w:t>
            </w:r>
            <w:r>
              <w:t>y</w:t>
            </w:r>
            <w:r w:rsidRPr="00786685">
              <w:t xml:space="preserve">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5E058E">
              <w:t>EVVO</w:t>
            </w:r>
          </w:p>
        </w:tc>
        <w:tc>
          <w:tcPr>
            <w:tcW w:w="7505" w:type="dxa"/>
            <w:vAlign w:val="center"/>
          </w:tcPr>
          <w:p w:rsidR="0072676F" w:rsidRPr="005E058E" w:rsidRDefault="008C12E6" w:rsidP="00ED64C9">
            <w:r>
              <w:t>E</w:t>
            </w:r>
            <w:r w:rsidRPr="005E058E">
              <w:t>nvironmentální vzdělávání, výchov</w:t>
            </w:r>
            <w:r>
              <w:t>a</w:t>
            </w:r>
            <w:r w:rsidRPr="005E058E">
              <w:t xml:space="preserve"> a osvět</w:t>
            </w:r>
            <w:r>
              <w:t>a</w:t>
            </w:r>
            <w:r w:rsidRPr="005E058E">
              <w:t xml:space="preserve">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5E058E">
              <w:t>EP</w:t>
            </w:r>
          </w:p>
        </w:tc>
        <w:tc>
          <w:tcPr>
            <w:tcW w:w="7505" w:type="dxa"/>
            <w:vAlign w:val="center"/>
          </w:tcPr>
          <w:p w:rsidR="0072676F" w:rsidRPr="005E058E" w:rsidRDefault="008C12E6" w:rsidP="00ED64C9">
            <w:r w:rsidRPr="005E058E">
              <w:t xml:space="preserve">Environmentální poradenství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786685">
              <w:t>NIS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786685">
              <w:t xml:space="preserve">Národní inovační strategii České republiky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786685">
              <w:t>NP</w:t>
            </w:r>
            <w:r>
              <w:t> </w:t>
            </w:r>
            <w:proofErr w:type="spellStart"/>
            <w:r w:rsidRPr="00786685">
              <w:t>VaVaI</w:t>
            </w:r>
            <w:proofErr w:type="spellEnd"/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786685">
              <w:t>Národní politik</w:t>
            </w:r>
            <w:r>
              <w:t>a</w:t>
            </w:r>
            <w:r w:rsidRPr="00786685">
              <w:t xml:space="preserve"> výzkumu, vývoje a inovací ČR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 w:rsidRPr="005E058E">
              <w:t>TA ČR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 w:rsidRPr="005E058E">
              <w:t>Technologick</w:t>
            </w:r>
            <w:r>
              <w:t>á</w:t>
            </w:r>
            <w:r w:rsidRPr="005E058E">
              <w:t xml:space="preserve"> agentur</w:t>
            </w:r>
            <w:r>
              <w:t>a</w:t>
            </w:r>
            <w:r w:rsidRPr="005E058E">
              <w:t xml:space="preserve"> České republiky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EŠV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ED64C9">
            <w:r>
              <w:t>Ekologicky šetrný výrobek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72676F" w:rsidRDefault="008C12E6" w:rsidP="00ED64C9">
            <w:r>
              <w:t>EMAS</w:t>
            </w:r>
          </w:p>
        </w:tc>
        <w:tc>
          <w:tcPr>
            <w:tcW w:w="7505" w:type="dxa"/>
            <w:vAlign w:val="center"/>
          </w:tcPr>
          <w:p w:rsidR="0072676F" w:rsidRPr="00144737" w:rsidRDefault="008C12E6" w:rsidP="00D973B1">
            <w:r w:rsidRPr="002566B5">
              <w:t xml:space="preserve">Zkratka </w:t>
            </w:r>
            <w:proofErr w:type="spellStart"/>
            <w:r w:rsidRPr="002566B5">
              <w:t>Eco</w:t>
            </w:r>
            <w:proofErr w:type="spellEnd"/>
            <w:r w:rsidRPr="002566B5">
              <w:t xml:space="preserve"> Management and Audit </w:t>
            </w:r>
            <w:proofErr w:type="spellStart"/>
            <w:proofErr w:type="gramStart"/>
            <w:r w:rsidRPr="002566B5">
              <w:t>Scheme</w:t>
            </w:r>
            <w:proofErr w:type="spellEnd"/>
            <w:r w:rsidR="00B66024">
              <w:t xml:space="preserve"> - S</w:t>
            </w:r>
            <w:r w:rsidR="00B66024" w:rsidRPr="00B66024">
              <w:t>ystém</w:t>
            </w:r>
            <w:proofErr w:type="gramEnd"/>
            <w:r w:rsidR="00B66024" w:rsidRPr="00B66024">
              <w:t xml:space="preserve"> Společenství pro environmentální řízení podniků a audit</w:t>
            </w:r>
            <w:r w:rsidR="00D973B1">
              <w:t>.</w:t>
            </w:r>
            <w:r>
              <w:t xml:space="preserve">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C077A9" w:rsidRDefault="008C12E6" w:rsidP="00C077A9">
            <w:r w:rsidRPr="00BF6273">
              <w:t>EPD</w:t>
            </w:r>
          </w:p>
        </w:tc>
        <w:tc>
          <w:tcPr>
            <w:tcW w:w="7505" w:type="dxa"/>
            <w:vAlign w:val="center"/>
          </w:tcPr>
          <w:p w:rsidR="00C077A9" w:rsidRPr="00144737" w:rsidRDefault="008C12E6" w:rsidP="00D85D12">
            <w:r w:rsidRPr="00BF6273">
              <w:t xml:space="preserve">Databáze </w:t>
            </w:r>
            <w:r w:rsidR="00D973B1">
              <w:t>e</w:t>
            </w:r>
            <w:r w:rsidR="00D973B1" w:rsidRPr="00D973B1">
              <w:t>nvironmentální</w:t>
            </w:r>
            <w:r w:rsidR="00D973B1">
              <w:t>ch</w:t>
            </w:r>
            <w:r w:rsidR="00D973B1" w:rsidRPr="00D973B1">
              <w:t xml:space="preserve"> prohlášení o produktu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C077A9" w:rsidRDefault="008C12E6" w:rsidP="00C077A9">
            <w:r w:rsidRPr="00AA415F">
              <w:rPr>
                <w:bCs/>
              </w:rPr>
              <w:t>ČFPB</w:t>
            </w:r>
          </w:p>
        </w:tc>
        <w:tc>
          <w:tcPr>
            <w:tcW w:w="7505" w:type="dxa"/>
            <w:vAlign w:val="center"/>
          </w:tcPr>
          <w:p w:rsidR="00C077A9" w:rsidRPr="00144737" w:rsidRDefault="008C12E6" w:rsidP="00C077A9">
            <w:r w:rsidRPr="00AA415F">
              <w:rPr>
                <w:bCs/>
              </w:rPr>
              <w:t>Česk</w:t>
            </w:r>
            <w:r>
              <w:rPr>
                <w:bCs/>
              </w:rPr>
              <w:t>á</w:t>
            </w:r>
            <w:r w:rsidRPr="00AA415F">
              <w:rPr>
                <w:bCs/>
              </w:rPr>
              <w:t xml:space="preserve"> federace potravinových bank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C077A9" w:rsidRDefault="008C12E6" w:rsidP="00C077A9">
            <w:r w:rsidRPr="00AA415F">
              <w:t>NNO</w:t>
            </w:r>
          </w:p>
        </w:tc>
        <w:tc>
          <w:tcPr>
            <w:tcW w:w="7505" w:type="dxa"/>
            <w:vAlign w:val="center"/>
          </w:tcPr>
          <w:p w:rsidR="00C077A9" w:rsidRPr="00144737" w:rsidRDefault="008C12E6" w:rsidP="00C077A9">
            <w:r>
              <w:t>N</w:t>
            </w:r>
            <w:r w:rsidRPr="00AA415F">
              <w:t>estátní neziskov</w:t>
            </w:r>
            <w:r>
              <w:t>é</w:t>
            </w:r>
            <w:r w:rsidRPr="00AA415F">
              <w:t xml:space="preserve"> organizac</w:t>
            </w:r>
            <w:r>
              <w:t>e</w:t>
            </w:r>
            <w:r w:rsidRPr="00AA415F">
              <w:t xml:space="preserve"> 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C077A9" w:rsidRDefault="008C12E6" w:rsidP="00C077A9">
            <w:r w:rsidRPr="00AA415F">
              <w:rPr>
                <w:rFonts w:cs="Tahoma"/>
                <w:szCs w:val="24"/>
              </w:rPr>
              <w:lastRenderedPageBreak/>
              <w:t>LED</w:t>
            </w:r>
          </w:p>
        </w:tc>
        <w:tc>
          <w:tcPr>
            <w:tcW w:w="7505" w:type="dxa"/>
            <w:vAlign w:val="center"/>
          </w:tcPr>
          <w:p w:rsidR="00C077A9" w:rsidRPr="00144737" w:rsidRDefault="008C12E6" w:rsidP="00D973B1">
            <w:r w:rsidRPr="00D973B1">
              <w:t xml:space="preserve">Zkratka z </w:t>
            </w:r>
            <w:proofErr w:type="spellStart"/>
            <w:r w:rsidRPr="00D973B1">
              <w:t>Light-Emitting</w:t>
            </w:r>
            <w:proofErr w:type="spellEnd"/>
            <w:r w:rsidRPr="00D973B1">
              <w:t xml:space="preserve"> </w:t>
            </w:r>
            <w:proofErr w:type="spellStart"/>
            <w:r w:rsidRPr="00D973B1">
              <w:t>Diode</w:t>
            </w:r>
            <w:proofErr w:type="spellEnd"/>
            <w:r w:rsidRPr="00D973B1">
              <w:t>. Elektroluminiscenční dioda, též světelná dioda</w:t>
            </w:r>
            <w:r>
              <w:t xml:space="preserve"> nebo </w:t>
            </w:r>
            <w:r w:rsidRPr="00D973B1">
              <w:t>svítivá dioda.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C077A9" w:rsidRDefault="008C12E6" w:rsidP="00C077A9">
            <w:r>
              <w:t>SAKO</w:t>
            </w:r>
          </w:p>
        </w:tc>
        <w:tc>
          <w:tcPr>
            <w:tcW w:w="7505" w:type="dxa"/>
            <w:vAlign w:val="center"/>
          </w:tcPr>
          <w:p w:rsidR="00C077A9" w:rsidRPr="00144737" w:rsidRDefault="008C12E6" w:rsidP="00C077A9">
            <w:r>
              <w:t>Spalovna komunálního odpadu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C077A9" w:rsidRDefault="008C12E6" w:rsidP="00C077A9">
            <w:r w:rsidRPr="00AA415F">
              <w:rPr>
                <w:rFonts w:cs="Tahoma"/>
                <w:szCs w:val="24"/>
              </w:rPr>
              <w:t>ZEVO</w:t>
            </w:r>
          </w:p>
        </w:tc>
        <w:tc>
          <w:tcPr>
            <w:tcW w:w="7505" w:type="dxa"/>
            <w:vAlign w:val="center"/>
          </w:tcPr>
          <w:p w:rsidR="00C077A9" w:rsidRPr="00144737" w:rsidRDefault="008C12E6" w:rsidP="00C077A9">
            <w:r>
              <w:t>Zařízení k energetickému využití odpadů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C077A9" w:rsidRDefault="008C12E6" w:rsidP="00C077A9">
            <w:r w:rsidRPr="000F005E">
              <w:rPr>
                <w:rFonts w:cs="Tahoma"/>
              </w:rPr>
              <w:t>HMP</w:t>
            </w:r>
          </w:p>
        </w:tc>
        <w:tc>
          <w:tcPr>
            <w:tcW w:w="7505" w:type="dxa"/>
            <w:vAlign w:val="center"/>
          </w:tcPr>
          <w:p w:rsidR="00C077A9" w:rsidRPr="00144737" w:rsidRDefault="008C12E6" w:rsidP="00C077A9">
            <w:r>
              <w:t>Hlavní město Praha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665254" w:rsidRPr="000F005E" w:rsidRDefault="008C12E6" w:rsidP="0066525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z.s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7505" w:type="dxa"/>
            <w:vAlign w:val="center"/>
          </w:tcPr>
          <w:p w:rsidR="00665254" w:rsidRDefault="008C12E6" w:rsidP="00665254">
            <w:r>
              <w:t>Zájmové sdružení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665254" w:rsidRPr="000F005E" w:rsidRDefault="008C12E6" w:rsidP="0066525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z.ú</w:t>
            </w:r>
            <w:proofErr w:type="spellEnd"/>
            <w:r>
              <w:rPr>
                <w:rFonts w:cs="Tahoma"/>
              </w:rPr>
              <w:t xml:space="preserve">. </w:t>
            </w:r>
          </w:p>
        </w:tc>
        <w:tc>
          <w:tcPr>
            <w:tcW w:w="7505" w:type="dxa"/>
            <w:vAlign w:val="center"/>
          </w:tcPr>
          <w:p w:rsidR="00665254" w:rsidRDefault="008C12E6" w:rsidP="00665254">
            <w:r>
              <w:t>Zapsaný ústav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665254" w:rsidRPr="000F005E" w:rsidRDefault="008C12E6" w:rsidP="00665254">
            <w:pPr>
              <w:rPr>
                <w:rFonts w:cs="Tahoma"/>
              </w:rPr>
            </w:pPr>
            <w:r>
              <w:rPr>
                <w:rFonts w:cs="Tahoma"/>
              </w:rPr>
              <w:t>s.r.o.</w:t>
            </w:r>
          </w:p>
        </w:tc>
        <w:tc>
          <w:tcPr>
            <w:tcW w:w="7505" w:type="dxa"/>
            <w:vAlign w:val="center"/>
          </w:tcPr>
          <w:p w:rsidR="00665254" w:rsidRDefault="008C12E6" w:rsidP="00665254">
            <w:r>
              <w:t>Společnost s ručením omezeným</w:t>
            </w:r>
          </w:p>
        </w:tc>
      </w:tr>
      <w:tr w:rsidR="007E5173" w:rsidTr="00C077A9">
        <w:tc>
          <w:tcPr>
            <w:tcW w:w="1555" w:type="dxa"/>
            <w:vAlign w:val="center"/>
          </w:tcPr>
          <w:p w:rsidR="00665254" w:rsidRPr="000F005E" w:rsidRDefault="008C12E6" w:rsidP="00665254">
            <w:pPr>
              <w:rPr>
                <w:rFonts w:cs="Tahoma"/>
              </w:rPr>
            </w:pPr>
            <w:r>
              <w:rPr>
                <w:rFonts w:cs="Tahoma"/>
              </w:rPr>
              <w:t>a.s.</w:t>
            </w:r>
          </w:p>
        </w:tc>
        <w:tc>
          <w:tcPr>
            <w:tcW w:w="7505" w:type="dxa"/>
            <w:vAlign w:val="center"/>
          </w:tcPr>
          <w:p w:rsidR="00665254" w:rsidRDefault="008C12E6" w:rsidP="00665254">
            <w:r>
              <w:t>Akciová společnost</w:t>
            </w:r>
          </w:p>
        </w:tc>
      </w:tr>
    </w:tbl>
    <w:p w:rsidR="0072676F" w:rsidRPr="00A078C9" w:rsidRDefault="0072676F" w:rsidP="008431FC">
      <w:pPr>
        <w:tabs>
          <w:tab w:val="left" w:pos="912"/>
        </w:tabs>
        <w:autoSpaceDE w:val="0"/>
        <w:autoSpaceDN w:val="0"/>
        <w:adjustRightInd w:val="0"/>
        <w:spacing w:after="120" w:line="276" w:lineRule="auto"/>
      </w:pPr>
    </w:p>
    <w:sectPr w:rsidR="0072676F" w:rsidRPr="00A078C9" w:rsidSect="00AD0042">
      <w:headerReference w:type="default" r:id="rId75"/>
      <w:footerReference w:type="default" r:id="rId76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E6" w:rsidRDefault="008C12E6">
      <w:r>
        <w:separator/>
      </w:r>
    </w:p>
  </w:endnote>
  <w:endnote w:type="continuationSeparator" w:id="0">
    <w:p w:rsidR="008C12E6" w:rsidRDefault="008C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LG Regular">
    <w:altName w:val="Corbe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38" w:rsidRDefault="008C12E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124</w:t>
    </w:r>
    <w:r>
      <w:fldChar w:fldCharType="end"/>
    </w:r>
  </w:p>
  <w:p w:rsidR="00776038" w:rsidRDefault="00776038">
    <w:pPr>
      <w:pStyle w:val="Zpat"/>
    </w:pPr>
  </w:p>
  <w:p w:rsidR="00776038" w:rsidRDefault="007760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E6" w:rsidRDefault="008C12E6">
      <w:r>
        <w:separator/>
      </w:r>
    </w:p>
  </w:footnote>
  <w:footnote w:type="continuationSeparator" w:id="0">
    <w:p w:rsidR="008C12E6" w:rsidRDefault="008C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38" w:rsidRPr="00AD0042" w:rsidRDefault="00776038" w:rsidP="00AD0042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EFB"/>
    <w:multiLevelType w:val="hybridMultilevel"/>
    <w:tmpl w:val="DE8C5802"/>
    <w:lvl w:ilvl="0" w:tplc="639CF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8C24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C2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07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C0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04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0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6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49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D77"/>
    <w:multiLevelType w:val="hybridMultilevel"/>
    <w:tmpl w:val="799E2322"/>
    <w:lvl w:ilvl="0" w:tplc="8A72D9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D5E533E">
      <w:start w:val="1"/>
      <w:numFmt w:val="bullet"/>
      <w:lvlText w:val="-"/>
      <w:lvlJc w:val="left"/>
      <w:pPr>
        <w:ind w:left="2007" w:hanging="360"/>
      </w:pPr>
      <w:rPr>
        <w:rFonts w:ascii="Calibri" w:eastAsiaTheme="minorHAnsi" w:hAnsi="Calibri" w:cs="Arial" w:hint="default"/>
      </w:rPr>
    </w:lvl>
    <w:lvl w:ilvl="2" w:tplc="F9F01A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D8E49B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3FE14A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06EF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33E208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A68E3F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79E85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06915"/>
    <w:multiLevelType w:val="multilevel"/>
    <w:tmpl w:val="19B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8047E"/>
    <w:multiLevelType w:val="hybridMultilevel"/>
    <w:tmpl w:val="94E47780"/>
    <w:lvl w:ilvl="0" w:tplc="F4725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5E462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60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C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A9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2D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E7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86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49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6EE3"/>
    <w:multiLevelType w:val="hybridMultilevel"/>
    <w:tmpl w:val="C94A951C"/>
    <w:lvl w:ilvl="0" w:tplc="4D1A5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5C2F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C8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E8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EE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68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6D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AC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C4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758"/>
    <w:multiLevelType w:val="multilevel"/>
    <w:tmpl w:val="DBA84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nadpi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05224DA"/>
    <w:multiLevelType w:val="hybridMultilevel"/>
    <w:tmpl w:val="FED4D38E"/>
    <w:lvl w:ilvl="0" w:tplc="528660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36E684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B765F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92D2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4124D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1288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269D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64A6E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E2ECE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DF28C1"/>
    <w:multiLevelType w:val="hybridMultilevel"/>
    <w:tmpl w:val="6234DD8A"/>
    <w:lvl w:ilvl="0" w:tplc="623CEE02">
      <w:start w:val="1"/>
      <w:numFmt w:val="decimal"/>
      <w:lvlText w:val="%1."/>
      <w:lvlJc w:val="left"/>
      <w:pPr>
        <w:ind w:left="1854" w:hanging="360"/>
      </w:pPr>
    </w:lvl>
    <w:lvl w:ilvl="1" w:tplc="738E7F16" w:tentative="1">
      <w:start w:val="1"/>
      <w:numFmt w:val="lowerLetter"/>
      <w:lvlText w:val="%2."/>
      <w:lvlJc w:val="left"/>
      <w:pPr>
        <w:ind w:left="2574" w:hanging="360"/>
      </w:pPr>
    </w:lvl>
    <w:lvl w:ilvl="2" w:tplc="F2DA4218" w:tentative="1">
      <w:start w:val="1"/>
      <w:numFmt w:val="lowerRoman"/>
      <w:lvlText w:val="%3."/>
      <w:lvlJc w:val="right"/>
      <w:pPr>
        <w:ind w:left="3294" w:hanging="180"/>
      </w:pPr>
    </w:lvl>
    <w:lvl w:ilvl="3" w:tplc="277E55F2" w:tentative="1">
      <w:start w:val="1"/>
      <w:numFmt w:val="decimal"/>
      <w:lvlText w:val="%4."/>
      <w:lvlJc w:val="left"/>
      <w:pPr>
        <w:ind w:left="4014" w:hanging="360"/>
      </w:pPr>
    </w:lvl>
    <w:lvl w:ilvl="4" w:tplc="C07868AE" w:tentative="1">
      <w:start w:val="1"/>
      <w:numFmt w:val="lowerLetter"/>
      <w:lvlText w:val="%5."/>
      <w:lvlJc w:val="left"/>
      <w:pPr>
        <w:ind w:left="4734" w:hanging="360"/>
      </w:pPr>
    </w:lvl>
    <w:lvl w:ilvl="5" w:tplc="44060518" w:tentative="1">
      <w:start w:val="1"/>
      <w:numFmt w:val="lowerRoman"/>
      <w:lvlText w:val="%6."/>
      <w:lvlJc w:val="right"/>
      <w:pPr>
        <w:ind w:left="5454" w:hanging="180"/>
      </w:pPr>
    </w:lvl>
    <w:lvl w:ilvl="6" w:tplc="B22A92AE" w:tentative="1">
      <w:start w:val="1"/>
      <w:numFmt w:val="decimal"/>
      <w:lvlText w:val="%7."/>
      <w:lvlJc w:val="left"/>
      <w:pPr>
        <w:ind w:left="6174" w:hanging="360"/>
      </w:pPr>
    </w:lvl>
    <w:lvl w:ilvl="7" w:tplc="854C30EC" w:tentative="1">
      <w:start w:val="1"/>
      <w:numFmt w:val="lowerLetter"/>
      <w:lvlText w:val="%8."/>
      <w:lvlJc w:val="left"/>
      <w:pPr>
        <w:ind w:left="6894" w:hanging="360"/>
      </w:pPr>
    </w:lvl>
    <w:lvl w:ilvl="8" w:tplc="2974B68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2A4187"/>
    <w:multiLevelType w:val="hybridMultilevel"/>
    <w:tmpl w:val="1B2E222A"/>
    <w:lvl w:ilvl="0" w:tplc="FF6C8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A645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3E43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020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2EB3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041C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9EDB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62C8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54EA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C22FB"/>
    <w:multiLevelType w:val="hybridMultilevel"/>
    <w:tmpl w:val="751E79B4"/>
    <w:lvl w:ilvl="0" w:tplc="CE04F5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1661588">
      <w:numFmt w:val="bullet"/>
      <w:lvlText w:val="•"/>
      <w:lvlJc w:val="left"/>
      <w:pPr>
        <w:ind w:left="2007" w:hanging="360"/>
      </w:pPr>
      <w:rPr>
        <w:rFonts w:ascii="Calibri" w:eastAsia="Times New Roman" w:hAnsi="Calibri" w:cs="Tahoma" w:hint="default"/>
      </w:rPr>
    </w:lvl>
    <w:lvl w:ilvl="2" w:tplc="80D0500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96EF1F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E0679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778F0B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762B3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128F2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D4E678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B51038"/>
    <w:multiLevelType w:val="hybridMultilevel"/>
    <w:tmpl w:val="E5A0A942"/>
    <w:lvl w:ilvl="0" w:tplc="7EA06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75EECEE" w:tentative="1">
      <w:start w:val="1"/>
      <w:numFmt w:val="lowerLetter"/>
      <w:lvlText w:val="%2."/>
      <w:lvlJc w:val="left"/>
      <w:pPr>
        <w:ind w:left="1440" w:hanging="360"/>
      </w:pPr>
    </w:lvl>
    <w:lvl w:ilvl="2" w:tplc="0C7C6B80" w:tentative="1">
      <w:start w:val="1"/>
      <w:numFmt w:val="lowerRoman"/>
      <w:lvlText w:val="%3."/>
      <w:lvlJc w:val="right"/>
      <w:pPr>
        <w:ind w:left="2160" w:hanging="180"/>
      </w:pPr>
    </w:lvl>
    <w:lvl w:ilvl="3" w:tplc="A0EE4F9A" w:tentative="1">
      <w:start w:val="1"/>
      <w:numFmt w:val="decimal"/>
      <w:lvlText w:val="%4."/>
      <w:lvlJc w:val="left"/>
      <w:pPr>
        <w:ind w:left="2880" w:hanging="360"/>
      </w:pPr>
    </w:lvl>
    <w:lvl w:ilvl="4" w:tplc="477019F0" w:tentative="1">
      <w:start w:val="1"/>
      <w:numFmt w:val="lowerLetter"/>
      <w:lvlText w:val="%5."/>
      <w:lvlJc w:val="left"/>
      <w:pPr>
        <w:ind w:left="3600" w:hanging="360"/>
      </w:pPr>
    </w:lvl>
    <w:lvl w:ilvl="5" w:tplc="6938E5E2" w:tentative="1">
      <w:start w:val="1"/>
      <w:numFmt w:val="lowerRoman"/>
      <w:lvlText w:val="%6."/>
      <w:lvlJc w:val="right"/>
      <w:pPr>
        <w:ind w:left="4320" w:hanging="180"/>
      </w:pPr>
    </w:lvl>
    <w:lvl w:ilvl="6" w:tplc="B762DF12" w:tentative="1">
      <w:start w:val="1"/>
      <w:numFmt w:val="decimal"/>
      <w:lvlText w:val="%7."/>
      <w:lvlJc w:val="left"/>
      <w:pPr>
        <w:ind w:left="5040" w:hanging="360"/>
      </w:pPr>
    </w:lvl>
    <w:lvl w:ilvl="7" w:tplc="5CBAD5A4" w:tentative="1">
      <w:start w:val="1"/>
      <w:numFmt w:val="lowerLetter"/>
      <w:lvlText w:val="%8."/>
      <w:lvlJc w:val="left"/>
      <w:pPr>
        <w:ind w:left="5760" w:hanging="360"/>
      </w:pPr>
    </w:lvl>
    <w:lvl w:ilvl="8" w:tplc="A2E84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15DB"/>
    <w:multiLevelType w:val="hybridMultilevel"/>
    <w:tmpl w:val="6754677C"/>
    <w:lvl w:ilvl="0" w:tplc="F6E44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EE18D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6D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28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2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A3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4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5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09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39DC"/>
    <w:multiLevelType w:val="hybridMultilevel"/>
    <w:tmpl w:val="280A8854"/>
    <w:lvl w:ilvl="0" w:tplc="F250671A">
      <w:numFmt w:val="bullet"/>
      <w:lvlText w:val="•"/>
      <w:lvlJc w:val="left"/>
      <w:pPr>
        <w:ind w:left="720" w:hanging="360"/>
      </w:pPr>
      <w:rPr>
        <w:rFonts w:ascii="Calibri" w:eastAsia="Graphik LG Regular" w:hAnsi="Calibri" w:cs="Graphik LG Regular" w:hint="default"/>
      </w:rPr>
    </w:lvl>
    <w:lvl w:ilvl="1" w:tplc="B340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CB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5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F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6B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8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AF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6B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7296"/>
    <w:multiLevelType w:val="hybridMultilevel"/>
    <w:tmpl w:val="82EABF78"/>
    <w:lvl w:ilvl="0" w:tplc="7722C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2E45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0C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A1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46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4A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C0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3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E8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B6FF9"/>
    <w:multiLevelType w:val="hybridMultilevel"/>
    <w:tmpl w:val="DFCE8940"/>
    <w:lvl w:ilvl="0" w:tplc="46744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AD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0F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8B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F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26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45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B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2B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6CCC"/>
    <w:multiLevelType w:val="hybridMultilevel"/>
    <w:tmpl w:val="5088DAEC"/>
    <w:lvl w:ilvl="0" w:tplc="AC4EDA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862A4D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2DCAE9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5C085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F424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52FA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F2C32A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3E2D52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3652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F065FB"/>
    <w:multiLevelType w:val="hybridMultilevel"/>
    <w:tmpl w:val="5C908274"/>
    <w:lvl w:ilvl="0" w:tplc="5D62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CC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02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C2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0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CB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C3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E7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E5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F5774"/>
    <w:multiLevelType w:val="hybridMultilevel"/>
    <w:tmpl w:val="53D8D66C"/>
    <w:lvl w:ilvl="0" w:tplc="5800905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  <w:i w:val="0"/>
        <w:color w:val="auto"/>
      </w:rPr>
    </w:lvl>
    <w:lvl w:ilvl="1" w:tplc="8FF0698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D260A1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F7215F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A549B0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B96073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AE4A63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CDE61D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066631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9075A47"/>
    <w:multiLevelType w:val="hybridMultilevel"/>
    <w:tmpl w:val="5C048F9C"/>
    <w:lvl w:ilvl="0" w:tplc="85EC2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7856F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C5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24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6B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8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5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03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45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4FE6"/>
    <w:multiLevelType w:val="hybridMultilevel"/>
    <w:tmpl w:val="DA989F40"/>
    <w:lvl w:ilvl="0" w:tplc="B4A4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B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25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4D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6A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A3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42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C2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45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2041"/>
    <w:multiLevelType w:val="hybridMultilevel"/>
    <w:tmpl w:val="7A1271C6"/>
    <w:lvl w:ilvl="0" w:tplc="58F2C35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29F4F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C2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61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4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82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48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27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43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A26BC"/>
    <w:multiLevelType w:val="hybridMultilevel"/>
    <w:tmpl w:val="478C1930"/>
    <w:lvl w:ilvl="0" w:tplc="ADEE0E26">
      <w:start w:val="5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BE25BDC">
      <w:start w:val="57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8"/>
      </w:rPr>
    </w:lvl>
    <w:lvl w:ilvl="2" w:tplc="7A384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3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47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46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47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83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A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5753"/>
    <w:multiLevelType w:val="hybridMultilevel"/>
    <w:tmpl w:val="0682EF40"/>
    <w:lvl w:ilvl="0" w:tplc="496E6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452E8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AE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C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E9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4B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06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E8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86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980"/>
    <w:multiLevelType w:val="hybridMultilevel"/>
    <w:tmpl w:val="979E00A0"/>
    <w:lvl w:ilvl="0" w:tplc="BCA0CF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2142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87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6A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2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22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2A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86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F53"/>
    <w:multiLevelType w:val="hybridMultilevel"/>
    <w:tmpl w:val="B636C612"/>
    <w:lvl w:ilvl="0" w:tplc="2BFCAED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5B5EA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80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2B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F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EA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AC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40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6F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E71E1"/>
    <w:multiLevelType w:val="hybridMultilevel"/>
    <w:tmpl w:val="2E746D42"/>
    <w:lvl w:ilvl="0" w:tplc="8CD09A9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A4E10C4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B220FAE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75ACC87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37E8908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65061848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8D21B32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92FAF6A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10F13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67804A4"/>
    <w:multiLevelType w:val="hybridMultilevel"/>
    <w:tmpl w:val="64C8EA42"/>
    <w:lvl w:ilvl="0" w:tplc="989AD2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4D16A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AE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CB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5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0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CE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6D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ABC"/>
    <w:multiLevelType w:val="hybridMultilevel"/>
    <w:tmpl w:val="87DA31DC"/>
    <w:lvl w:ilvl="0" w:tplc="2B863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46580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A4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4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5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89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4D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8E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88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6F4F"/>
    <w:multiLevelType w:val="hybridMultilevel"/>
    <w:tmpl w:val="FC5CD9CE"/>
    <w:lvl w:ilvl="0" w:tplc="4530A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8C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04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A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C7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45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E1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4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B6EE2"/>
    <w:multiLevelType w:val="hybridMultilevel"/>
    <w:tmpl w:val="4D481728"/>
    <w:lvl w:ilvl="0" w:tplc="C56C66CC">
      <w:start w:val="578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sz w:val="28"/>
      </w:rPr>
    </w:lvl>
    <w:lvl w:ilvl="1" w:tplc="1BE47EF4" w:tentative="1">
      <w:start w:val="1"/>
      <w:numFmt w:val="lowerLetter"/>
      <w:lvlText w:val="%2."/>
      <w:lvlJc w:val="left"/>
      <w:pPr>
        <w:ind w:left="1931" w:hanging="360"/>
      </w:pPr>
    </w:lvl>
    <w:lvl w:ilvl="2" w:tplc="CAB879A6" w:tentative="1">
      <w:start w:val="1"/>
      <w:numFmt w:val="lowerRoman"/>
      <w:lvlText w:val="%3."/>
      <w:lvlJc w:val="right"/>
      <w:pPr>
        <w:ind w:left="2651" w:hanging="180"/>
      </w:pPr>
    </w:lvl>
    <w:lvl w:ilvl="3" w:tplc="768AEA94" w:tentative="1">
      <w:start w:val="1"/>
      <w:numFmt w:val="decimal"/>
      <w:lvlText w:val="%4."/>
      <w:lvlJc w:val="left"/>
      <w:pPr>
        <w:ind w:left="3371" w:hanging="360"/>
      </w:pPr>
    </w:lvl>
    <w:lvl w:ilvl="4" w:tplc="EC9CB5E0" w:tentative="1">
      <w:start w:val="1"/>
      <w:numFmt w:val="lowerLetter"/>
      <w:lvlText w:val="%5."/>
      <w:lvlJc w:val="left"/>
      <w:pPr>
        <w:ind w:left="4091" w:hanging="360"/>
      </w:pPr>
    </w:lvl>
    <w:lvl w:ilvl="5" w:tplc="FCDE6634" w:tentative="1">
      <w:start w:val="1"/>
      <w:numFmt w:val="lowerRoman"/>
      <w:lvlText w:val="%6."/>
      <w:lvlJc w:val="right"/>
      <w:pPr>
        <w:ind w:left="4811" w:hanging="180"/>
      </w:pPr>
    </w:lvl>
    <w:lvl w:ilvl="6" w:tplc="3C0C1C42" w:tentative="1">
      <w:start w:val="1"/>
      <w:numFmt w:val="decimal"/>
      <w:lvlText w:val="%7."/>
      <w:lvlJc w:val="left"/>
      <w:pPr>
        <w:ind w:left="5531" w:hanging="360"/>
      </w:pPr>
    </w:lvl>
    <w:lvl w:ilvl="7" w:tplc="7018E4F2" w:tentative="1">
      <w:start w:val="1"/>
      <w:numFmt w:val="lowerLetter"/>
      <w:lvlText w:val="%8."/>
      <w:lvlJc w:val="left"/>
      <w:pPr>
        <w:ind w:left="6251" w:hanging="360"/>
      </w:pPr>
    </w:lvl>
    <w:lvl w:ilvl="8" w:tplc="A7340D7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4D6FDC"/>
    <w:multiLevelType w:val="hybridMultilevel"/>
    <w:tmpl w:val="4D089782"/>
    <w:lvl w:ilvl="0" w:tplc="AAF4D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42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8A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01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C7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09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7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04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A4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A8C"/>
    <w:multiLevelType w:val="hybridMultilevel"/>
    <w:tmpl w:val="E80E28C8"/>
    <w:lvl w:ilvl="0" w:tplc="7904047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B93A8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6C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CD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83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1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08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AD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C63A8"/>
    <w:multiLevelType w:val="hybridMultilevel"/>
    <w:tmpl w:val="BF2EDECE"/>
    <w:lvl w:ilvl="0" w:tplc="326CBEC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9B7A0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49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D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68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EA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CD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2D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B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32037"/>
    <w:multiLevelType w:val="hybridMultilevel"/>
    <w:tmpl w:val="3E4C5D50"/>
    <w:lvl w:ilvl="0" w:tplc="35B0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E9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AB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4B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85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25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2A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87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64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693F"/>
    <w:multiLevelType w:val="hybridMultilevel"/>
    <w:tmpl w:val="4C806126"/>
    <w:lvl w:ilvl="0" w:tplc="BB846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65F85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09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F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E1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C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EC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0E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22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21493"/>
    <w:multiLevelType w:val="hybridMultilevel"/>
    <w:tmpl w:val="F286A9A6"/>
    <w:lvl w:ilvl="0" w:tplc="2722B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B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64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20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CE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66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89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43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89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5CF9"/>
    <w:multiLevelType w:val="hybridMultilevel"/>
    <w:tmpl w:val="FFD643DC"/>
    <w:lvl w:ilvl="0" w:tplc="58506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E5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C3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4C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40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0C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C9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C5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A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B70A1"/>
    <w:multiLevelType w:val="hybridMultilevel"/>
    <w:tmpl w:val="40B2403C"/>
    <w:lvl w:ilvl="0" w:tplc="82CC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6F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2F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68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C3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2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CB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346DD"/>
    <w:multiLevelType w:val="hybridMultilevel"/>
    <w:tmpl w:val="FF609D1C"/>
    <w:lvl w:ilvl="0" w:tplc="055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6D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0B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B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A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8D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B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62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62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D3980"/>
    <w:multiLevelType w:val="hybridMultilevel"/>
    <w:tmpl w:val="469AF122"/>
    <w:lvl w:ilvl="0" w:tplc="561ABBB8">
      <w:start w:val="1"/>
      <w:numFmt w:val="bullet"/>
      <w:pStyle w:val="NormalNumber1Bullet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z w:val="22"/>
      </w:rPr>
    </w:lvl>
    <w:lvl w:ilvl="1" w:tplc="F736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BAE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321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F6BA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68D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2EB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ACA3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C2D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4C490C"/>
    <w:multiLevelType w:val="hybridMultilevel"/>
    <w:tmpl w:val="620CEFB4"/>
    <w:lvl w:ilvl="0" w:tplc="FDF6506E">
      <w:start w:val="578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8"/>
      </w:rPr>
    </w:lvl>
    <w:lvl w:ilvl="1" w:tplc="0680C68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708F4E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342507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9FAC02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6AC974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F8408F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2E407B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1E2009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62B1DDB"/>
    <w:multiLevelType w:val="hybridMultilevel"/>
    <w:tmpl w:val="37DE9FB4"/>
    <w:lvl w:ilvl="0" w:tplc="1C484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AA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82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08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82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2C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68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CA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CF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3D3E"/>
    <w:multiLevelType w:val="hybridMultilevel"/>
    <w:tmpl w:val="B9DCDE32"/>
    <w:lvl w:ilvl="0" w:tplc="4DBED3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CAD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ED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E6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E0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6F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2D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A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EC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24DD5"/>
    <w:multiLevelType w:val="multilevel"/>
    <w:tmpl w:val="0C740D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0"/>
      <w:lvlText w:val="%1.%2"/>
      <w:lvlJc w:val="left"/>
      <w:pPr>
        <w:ind w:left="171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290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ind w:left="4127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9812E23"/>
    <w:multiLevelType w:val="hybridMultilevel"/>
    <w:tmpl w:val="5430437C"/>
    <w:lvl w:ilvl="0" w:tplc="30FC8986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  <w:b/>
        <w:i w:val="0"/>
        <w:color w:val="auto"/>
      </w:rPr>
    </w:lvl>
    <w:lvl w:ilvl="1" w:tplc="3976D2AE">
      <w:numFmt w:val="bullet"/>
      <w:lvlText w:val="•"/>
      <w:lvlJc w:val="left"/>
      <w:pPr>
        <w:ind w:left="2007" w:hanging="360"/>
      </w:pPr>
      <w:rPr>
        <w:rFonts w:ascii="Calibri" w:eastAsia="Times New Roman" w:hAnsi="Calibri" w:cs="Tahoma" w:hint="default"/>
      </w:rPr>
    </w:lvl>
    <w:lvl w:ilvl="2" w:tplc="FEDE12B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592284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8828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5C754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5303D9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2E65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7840D7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761FFE"/>
    <w:multiLevelType w:val="hybridMultilevel"/>
    <w:tmpl w:val="8BE4466A"/>
    <w:lvl w:ilvl="0" w:tplc="DAA46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EC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66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2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2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26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67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4E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E4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24C1"/>
    <w:multiLevelType w:val="hybridMultilevel"/>
    <w:tmpl w:val="4704F632"/>
    <w:lvl w:ilvl="0" w:tplc="4B5A4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C2CD2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3A15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0FD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BE0D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B806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5631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9E48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3ECF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41"/>
  </w:num>
  <w:num w:numId="7">
    <w:abstractNumId w:val="33"/>
  </w:num>
  <w:num w:numId="8">
    <w:abstractNumId w:val="23"/>
  </w:num>
  <w:num w:numId="9">
    <w:abstractNumId w:val="28"/>
  </w:num>
  <w:num w:numId="10">
    <w:abstractNumId w:val="11"/>
  </w:num>
  <w:num w:numId="11">
    <w:abstractNumId w:val="25"/>
  </w:num>
  <w:num w:numId="12">
    <w:abstractNumId w:val="45"/>
  </w:num>
  <w:num w:numId="13">
    <w:abstractNumId w:val="30"/>
  </w:num>
  <w:num w:numId="14">
    <w:abstractNumId w:val="9"/>
  </w:num>
  <w:num w:numId="15">
    <w:abstractNumId w:val="20"/>
  </w:num>
  <w:num w:numId="16">
    <w:abstractNumId w:val="46"/>
  </w:num>
  <w:num w:numId="17">
    <w:abstractNumId w:val="14"/>
  </w:num>
  <w:num w:numId="18">
    <w:abstractNumId w:val="13"/>
  </w:num>
  <w:num w:numId="19">
    <w:abstractNumId w:val="27"/>
  </w:num>
  <w:num w:numId="20">
    <w:abstractNumId w:val="3"/>
  </w:num>
  <w:num w:numId="21">
    <w:abstractNumId w:val="0"/>
  </w:num>
  <w:num w:numId="22">
    <w:abstractNumId w:val="34"/>
  </w:num>
  <w:num w:numId="23">
    <w:abstractNumId w:val="15"/>
  </w:num>
  <w:num w:numId="24">
    <w:abstractNumId w:val="6"/>
  </w:num>
  <w:num w:numId="25">
    <w:abstractNumId w:val="1"/>
  </w:num>
  <w:num w:numId="26">
    <w:abstractNumId w:val="42"/>
  </w:num>
  <w:num w:numId="27">
    <w:abstractNumId w:val="4"/>
  </w:num>
  <w:num w:numId="28">
    <w:abstractNumId w:val="10"/>
  </w:num>
  <w:num w:numId="29">
    <w:abstractNumId w:val="19"/>
  </w:num>
  <w:num w:numId="30">
    <w:abstractNumId w:val="37"/>
  </w:num>
  <w:num w:numId="31">
    <w:abstractNumId w:val="7"/>
  </w:num>
  <w:num w:numId="32">
    <w:abstractNumId w:val="24"/>
  </w:num>
  <w:num w:numId="33">
    <w:abstractNumId w:val="17"/>
  </w:num>
  <w:num w:numId="34">
    <w:abstractNumId w:val="31"/>
  </w:num>
  <w:num w:numId="35">
    <w:abstractNumId w:val="26"/>
  </w:num>
  <w:num w:numId="36">
    <w:abstractNumId w:val="32"/>
  </w:num>
  <w:num w:numId="37">
    <w:abstractNumId w:val="44"/>
  </w:num>
  <w:num w:numId="38">
    <w:abstractNumId w:val="43"/>
  </w:num>
  <w:num w:numId="39">
    <w:abstractNumId w:val="36"/>
  </w:num>
  <w:num w:numId="40">
    <w:abstractNumId w:val="35"/>
  </w:num>
  <w:num w:numId="41">
    <w:abstractNumId w:val="8"/>
  </w:num>
  <w:num w:numId="42">
    <w:abstractNumId w:val="40"/>
  </w:num>
  <w:num w:numId="43">
    <w:abstractNumId w:val="21"/>
  </w:num>
  <w:num w:numId="44">
    <w:abstractNumId w:val="22"/>
  </w:num>
  <w:num w:numId="45">
    <w:abstractNumId w:val="29"/>
  </w:num>
  <w:num w:numId="46">
    <w:abstractNumId w:val="2"/>
  </w:num>
  <w:num w:numId="47">
    <w:abstractNumId w:val="38"/>
  </w:num>
  <w:num w:numId="48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1E"/>
    <w:rsid w:val="00000034"/>
    <w:rsid w:val="000001B3"/>
    <w:rsid w:val="000006F6"/>
    <w:rsid w:val="00000773"/>
    <w:rsid w:val="00000AE4"/>
    <w:rsid w:val="00000CAB"/>
    <w:rsid w:val="00000EF3"/>
    <w:rsid w:val="00000F95"/>
    <w:rsid w:val="00001800"/>
    <w:rsid w:val="00001981"/>
    <w:rsid w:val="00001C55"/>
    <w:rsid w:val="00001D71"/>
    <w:rsid w:val="00002065"/>
    <w:rsid w:val="0000228F"/>
    <w:rsid w:val="00002307"/>
    <w:rsid w:val="00002316"/>
    <w:rsid w:val="00002410"/>
    <w:rsid w:val="000024B0"/>
    <w:rsid w:val="000025D8"/>
    <w:rsid w:val="0000260B"/>
    <w:rsid w:val="0000293B"/>
    <w:rsid w:val="00002C20"/>
    <w:rsid w:val="0000308C"/>
    <w:rsid w:val="00003199"/>
    <w:rsid w:val="00003203"/>
    <w:rsid w:val="000036AD"/>
    <w:rsid w:val="000036F4"/>
    <w:rsid w:val="00003722"/>
    <w:rsid w:val="00003A63"/>
    <w:rsid w:val="00003B3F"/>
    <w:rsid w:val="00004416"/>
    <w:rsid w:val="0000454B"/>
    <w:rsid w:val="000045E1"/>
    <w:rsid w:val="00004A06"/>
    <w:rsid w:val="00004AC5"/>
    <w:rsid w:val="00004E34"/>
    <w:rsid w:val="000051CE"/>
    <w:rsid w:val="000055CE"/>
    <w:rsid w:val="000057BC"/>
    <w:rsid w:val="0000587D"/>
    <w:rsid w:val="0000587E"/>
    <w:rsid w:val="00005AF5"/>
    <w:rsid w:val="000061F1"/>
    <w:rsid w:val="0000625D"/>
    <w:rsid w:val="0000651F"/>
    <w:rsid w:val="0000653A"/>
    <w:rsid w:val="00006673"/>
    <w:rsid w:val="00006868"/>
    <w:rsid w:val="00006968"/>
    <w:rsid w:val="00006AFC"/>
    <w:rsid w:val="000070D7"/>
    <w:rsid w:val="00007146"/>
    <w:rsid w:val="000073F9"/>
    <w:rsid w:val="0000782D"/>
    <w:rsid w:val="00007A0F"/>
    <w:rsid w:val="00007AE2"/>
    <w:rsid w:val="00007C28"/>
    <w:rsid w:val="00007E12"/>
    <w:rsid w:val="0001023E"/>
    <w:rsid w:val="000102D0"/>
    <w:rsid w:val="00010537"/>
    <w:rsid w:val="00010612"/>
    <w:rsid w:val="000106F4"/>
    <w:rsid w:val="00010AAC"/>
    <w:rsid w:val="00010D27"/>
    <w:rsid w:val="00010DA1"/>
    <w:rsid w:val="00010E4B"/>
    <w:rsid w:val="00010E5B"/>
    <w:rsid w:val="000111FE"/>
    <w:rsid w:val="00011319"/>
    <w:rsid w:val="000121F6"/>
    <w:rsid w:val="0001226E"/>
    <w:rsid w:val="000123B2"/>
    <w:rsid w:val="000125DE"/>
    <w:rsid w:val="00012922"/>
    <w:rsid w:val="00012BDC"/>
    <w:rsid w:val="0001302C"/>
    <w:rsid w:val="0001309D"/>
    <w:rsid w:val="00013509"/>
    <w:rsid w:val="000137EF"/>
    <w:rsid w:val="0001390E"/>
    <w:rsid w:val="00013E21"/>
    <w:rsid w:val="00013E32"/>
    <w:rsid w:val="000144D8"/>
    <w:rsid w:val="0001466D"/>
    <w:rsid w:val="00014947"/>
    <w:rsid w:val="0001495A"/>
    <w:rsid w:val="00014A6A"/>
    <w:rsid w:val="00015178"/>
    <w:rsid w:val="00015217"/>
    <w:rsid w:val="000158B3"/>
    <w:rsid w:val="00015B1A"/>
    <w:rsid w:val="00015BF8"/>
    <w:rsid w:val="00016210"/>
    <w:rsid w:val="00016319"/>
    <w:rsid w:val="0001645C"/>
    <w:rsid w:val="0001668E"/>
    <w:rsid w:val="00016830"/>
    <w:rsid w:val="00016B60"/>
    <w:rsid w:val="00017244"/>
    <w:rsid w:val="0001726C"/>
    <w:rsid w:val="000173A5"/>
    <w:rsid w:val="000173DA"/>
    <w:rsid w:val="000177D2"/>
    <w:rsid w:val="000179A4"/>
    <w:rsid w:val="000204A1"/>
    <w:rsid w:val="000204D9"/>
    <w:rsid w:val="000207BE"/>
    <w:rsid w:val="00020C7A"/>
    <w:rsid w:val="00020EF2"/>
    <w:rsid w:val="000211E4"/>
    <w:rsid w:val="00021264"/>
    <w:rsid w:val="00021B5D"/>
    <w:rsid w:val="00021CF0"/>
    <w:rsid w:val="000223BA"/>
    <w:rsid w:val="000225DA"/>
    <w:rsid w:val="000227F3"/>
    <w:rsid w:val="0002296C"/>
    <w:rsid w:val="00022A86"/>
    <w:rsid w:val="00022C91"/>
    <w:rsid w:val="000230AB"/>
    <w:rsid w:val="000231E5"/>
    <w:rsid w:val="000233A4"/>
    <w:rsid w:val="0002347A"/>
    <w:rsid w:val="00023985"/>
    <w:rsid w:val="000239DD"/>
    <w:rsid w:val="00023C64"/>
    <w:rsid w:val="00023D67"/>
    <w:rsid w:val="000241CC"/>
    <w:rsid w:val="000241EB"/>
    <w:rsid w:val="00024973"/>
    <w:rsid w:val="00024BBC"/>
    <w:rsid w:val="00025901"/>
    <w:rsid w:val="00025F4E"/>
    <w:rsid w:val="00026146"/>
    <w:rsid w:val="000261C9"/>
    <w:rsid w:val="00026635"/>
    <w:rsid w:val="00026B95"/>
    <w:rsid w:val="00026D22"/>
    <w:rsid w:val="00026DC0"/>
    <w:rsid w:val="00026F6E"/>
    <w:rsid w:val="000273DF"/>
    <w:rsid w:val="0002782D"/>
    <w:rsid w:val="00027877"/>
    <w:rsid w:val="00027B38"/>
    <w:rsid w:val="00027BA6"/>
    <w:rsid w:val="00027C7B"/>
    <w:rsid w:val="00027EBD"/>
    <w:rsid w:val="000300C7"/>
    <w:rsid w:val="000301EF"/>
    <w:rsid w:val="000301FA"/>
    <w:rsid w:val="00030655"/>
    <w:rsid w:val="000306F0"/>
    <w:rsid w:val="00030D7F"/>
    <w:rsid w:val="00030DAC"/>
    <w:rsid w:val="00030DDB"/>
    <w:rsid w:val="000310F4"/>
    <w:rsid w:val="00031419"/>
    <w:rsid w:val="000314BF"/>
    <w:rsid w:val="000314DC"/>
    <w:rsid w:val="000315A0"/>
    <w:rsid w:val="00031A1B"/>
    <w:rsid w:val="00031F8E"/>
    <w:rsid w:val="0003228B"/>
    <w:rsid w:val="00032480"/>
    <w:rsid w:val="00032494"/>
    <w:rsid w:val="000326E2"/>
    <w:rsid w:val="00032B0A"/>
    <w:rsid w:val="00032B88"/>
    <w:rsid w:val="00032D6B"/>
    <w:rsid w:val="00032DBA"/>
    <w:rsid w:val="00032EE6"/>
    <w:rsid w:val="0003320E"/>
    <w:rsid w:val="000334B5"/>
    <w:rsid w:val="0003357B"/>
    <w:rsid w:val="00033588"/>
    <w:rsid w:val="00033821"/>
    <w:rsid w:val="000339A3"/>
    <w:rsid w:val="00033C3A"/>
    <w:rsid w:val="00033CE9"/>
    <w:rsid w:val="000340D1"/>
    <w:rsid w:val="00034128"/>
    <w:rsid w:val="0003486A"/>
    <w:rsid w:val="000348A2"/>
    <w:rsid w:val="000348BB"/>
    <w:rsid w:val="000349AC"/>
    <w:rsid w:val="00034CE5"/>
    <w:rsid w:val="00034F09"/>
    <w:rsid w:val="000352FA"/>
    <w:rsid w:val="00035442"/>
    <w:rsid w:val="00035B1A"/>
    <w:rsid w:val="00035C99"/>
    <w:rsid w:val="00035E61"/>
    <w:rsid w:val="0003611F"/>
    <w:rsid w:val="000361FF"/>
    <w:rsid w:val="00036ADA"/>
    <w:rsid w:val="0003721E"/>
    <w:rsid w:val="0003722D"/>
    <w:rsid w:val="000377DC"/>
    <w:rsid w:val="00037A38"/>
    <w:rsid w:val="00037CC1"/>
    <w:rsid w:val="00037CC8"/>
    <w:rsid w:val="00037E60"/>
    <w:rsid w:val="00037F98"/>
    <w:rsid w:val="00040187"/>
    <w:rsid w:val="000401C3"/>
    <w:rsid w:val="00040777"/>
    <w:rsid w:val="00040C1F"/>
    <w:rsid w:val="00040E67"/>
    <w:rsid w:val="00040EFF"/>
    <w:rsid w:val="00040F91"/>
    <w:rsid w:val="00041E73"/>
    <w:rsid w:val="0004206F"/>
    <w:rsid w:val="00042122"/>
    <w:rsid w:val="00042164"/>
    <w:rsid w:val="00042492"/>
    <w:rsid w:val="00042ECB"/>
    <w:rsid w:val="0004336C"/>
    <w:rsid w:val="00043620"/>
    <w:rsid w:val="0004391A"/>
    <w:rsid w:val="00043922"/>
    <w:rsid w:val="000439F9"/>
    <w:rsid w:val="00043BBE"/>
    <w:rsid w:val="00043F68"/>
    <w:rsid w:val="00043FB1"/>
    <w:rsid w:val="0004433B"/>
    <w:rsid w:val="00044A49"/>
    <w:rsid w:val="00044A4C"/>
    <w:rsid w:val="00044B88"/>
    <w:rsid w:val="00044EED"/>
    <w:rsid w:val="00044FDE"/>
    <w:rsid w:val="00045197"/>
    <w:rsid w:val="000451B9"/>
    <w:rsid w:val="00045439"/>
    <w:rsid w:val="00045583"/>
    <w:rsid w:val="00045638"/>
    <w:rsid w:val="00045795"/>
    <w:rsid w:val="0004586E"/>
    <w:rsid w:val="00045908"/>
    <w:rsid w:val="00045992"/>
    <w:rsid w:val="00045A4E"/>
    <w:rsid w:val="00045BC8"/>
    <w:rsid w:val="00045F99"/>
    <w:rsid w:val="000466DB"/>
    <w:rsid w:val="000468CD"/>
    <w:rsid w:val="00046A01"/>
    <w:rsid w:val="00046B7D"/>
    <w:rsid w:val="00046C55"/>
    <w:rsid w:val="00046C8F"/>
    <w:rsid w:val="0004703A"/>
    <w:rsid w:val="00047119"/>
    <w:rsid w:val="000471C0"/>
    <w:rsid w:val="00047425"/>
    <w:rsid w:val="00047516"/>
    <w:rsid w:val="00047681"/>
    <w:rsid w:val="00047A06"/>
    <w:rsid w:val="00047BDC"/>
    <w:rsid w:val="00047DFE"/>
    <w:rsid w:val="00047FEB"/>
    <w:rsid w:val="00050315"/>
    <w:rsid w:val="0005042F"/>
    <w:rsid w:val="00050484"/>
    <w:rsid w:val="000506D6"/>
    <w:rsid w:val="0005080B"/>
    <w:rsid w:val="000509B8"/>
    <w:rsid w:val="00050AFC"/>
    <w:rsid w:val="00050B3F"/>
    <w:rsid w:val="000512FE"/>
    <w:rsid w:val="0005144C"/>
    <w:rsid w:val="00051709"/>
    <w:rsid w:val="000520E8"/>
    <w:rsid w:val="00052421"/>
    <w:rsid w:val="00052707"/>
    <w:rsid w:val="00052780"/>
    <w:rsid w:val="0005294F"/>
    <w:rsid w:val="000529CA"/>
    <w:rsid w:val="00052A3E"/>
    <w:rsid w:val="00052BF0"/>
    <w:rsid w:val="00052CD2"/>
    <w:rsid w:val="00052D4E"/>
    <w:rsid w:val="00053084"/>
    <w:rsid w:val="00053167"/>
    <w:rsid w:val="00053185"/>
    <w:rsid w:val="00053DA1"/>
    <w:rsid w:val="000540D5"/>
    <w:rsid w:val="00054502"/>
    <w:rsid w:val="000545F7"/>
    <w:rsid w:val="000549C5"/>
    <w:rsid w:val="00054FB7"/>
    <w:rsid w:val="000551F3"/>
    <w:rsid w:val="0005532C"/>
    <w:rsid w:val="00055A38"/>
    <w:rsid w:val="00055C33"/>
    <w:rsid w:val="00055CCB"/>
    <w:rsid w:val="00055D03"/>
    <w:rsid w:val="00055D82"/>
    <w:rsid w:val="00055E06"/>
    <w:rsid w:val="00055EB6"/>
    <w:rsid w:val="0005646B"/>
    <w:rsid w:val="000564B0"/>
    <w:rsid w:val="0005665F"/>
    <w:rsid w:val="00056B65"/>
    <w:rsid w:val="00057331"/>
    <w:rsid w:val="00057B40"/>
    <w:rsid w:val="00057B7F"/>
    <w:rsid w:val="00057C85"/>
    <w:rsid w:val="00057DD9"/>
    <w:rsid w:val="00060080"/>
    <w:rsid w:val="00060216"/>
    <w:rsid w:val="0006044A"/>
    <w:rsid w:val="00060641"/>
    <w:rsid w:val="0006084C"/>
    <w:rsid w:val="000609E8"/>
    <w:rsid w:val="00060C0C"/>
    <w:rsid w:val="00061156"/>
    <w:rsid w:val="0006153D"/>
    <w:rsid w:val="000615C1"/>
    <w:rsid w:val="00061CE0"/>
    <w:rsid w:val="0006242E"/>
    <w:rsid w:val="0006248D"/>
    <w:rsid w:val="000624D6"/>
    <w:rsid w:val="00062A73"/>
    <w:rsid w:val="00062BE4"/>
    <w:rsid w:val="00062D1D"/>
    <w:rsid w:val="000633FB"/>
    <w:rsid w:val="000634DE"/>
    <w:rsid w:val="00063835"/>
    <w:rsid w:val="000639B4"/>
    <w:rsid w:val="00063CDA"/>
    <w:rsid w:val="00063E5D"/>
    <w:rsid w:val="00063E7C"/>
    <w:rsid w:val="00064352"/>
    <w:rsid w:val="0006485F"/>
    <w:rsid w:val="00064B8C"/>
    <w:rsid w:val="00064D80"/>
    <w:rsid w:val="000650CC"/>
    <w:rsid w:val="00065659"/>
    <w:rsid w:val="0006578F"/>
    <w:rsid w:val="00065812"/>
    <w:rsid w:val="000658E3"/>
    <w:rsid w:val="000659F7"/>
    <w:rsid w:val="00065A34"/>
    <w:rsid w:val="00065B5C"/>
    <w:rsid w:val="00065C65"/>
    <w:rsid w:val="00065CC6"/>
    <w:rsid w:val="00065CD9"/>
    <w:rsid w:val="00065F96"/>
    <w:rsid w:val="00066106"/>
    <w:rsid w:val="0006627D"/>
    <w:rsid w:val="00066367"/>
    <w:rsid w:val="00066A2D"/>
    <w:rsid w:val="00066AE6"/>
    <w:rsid w:val="00066B98"/>
    <w:rsid w:val="0006712B"/>
    <w:rsid w:val="00067653"/>
    <w:rsid w:val="00067659"/>
    <w:rsid w:val="000676B7"/>
    <w:rsid w:val="00067739"/>
    <w:rsid w:val="00067C65"/>
    <w:rsid w:val="00067EE3"/>
    <w:rsid w:val="00067FFA"/>
    <w:rsid w:val="0007017E"/>
    <w:rsid w:val="000701E8"/>
    <w:rsid w:val="00070434"/>
    <w:rsid w:val="000704E6"/>
    <w:rsid w:val="000708C5"/>
    <w:rsid w:val="0007097B"/>
    <w:rsid w:val="00070A93"/>
    <w:rsid w:val="00070FB8"/>
    <w:rsid w:val="00071058"/>
    <w:rsid w:val="0007131F"/>
    <w:rsid w:val="00071371"/>
    <w:rsid w:val="000713FC"/>
    <w:rsid w:val="00071451"/>
    <w:rsid w:val="00071CB0"/>
    <w:rsid w:val="00072043"/>
    <w:rsid w:val="000722BB"/>
    <w:rsid w:val="0007271E"/>
    <w:rsid w:val="00072926"/>
    <w:rsid w:val="00072B5B"/>
    <w:rsid w:val="00072B92"/>
    <w:rsid w:val="00072FCB"/>
    <w:rsid w:val="000734DF"/>
    <w:rsid w:val="000734EA"/>
    <w:rsid w:val="000735DE"/>
    <w:rsid w:val="0007383D"/>
    <w:rsid w:val="0007387C"/>
    <w:rsid w:val="00073B0D"/>
    <w:rsid w:val="00073E62"/>
    <w:rsid w:val="00074027"/>
    <w:rsid w:val="000741AC"/>
    <w:rsid w:val="00074228"/>
    <w:rsid w:val="0007437F"/>
    <w:rsid w:val="0007469C"/>
    <w:rsid w:val="0007480C"/>
    <w:rsid w:val="00074832"/>
    <w:rsid w:val="00074A37"/>
    <w:rsid w:val="00074AC5"/>
    <w:rsid w:val="00074CBA"/>
    <w:rsid w:val="00074E7F"/>
    <w:rsid w:val="00074F5D"/>
    <w:rsid w:val="00075373"/>
    <w:rsid w:val="00075382"/>
    <w:rsid w:val="00075500"/>
    <w:rsid w:val="000759EF"/>
    <w:rsid w:val="00075A0E"/>
    <w:rsid w:val="00075CC7"/>
    <w:rsid w:val="0007615F"/>
    <w:rsid w:val="00076186"/>
    <w:rsid w:val="00076CDF"/>
    <w:rsid w:val="000770F9"/>
    <w:rsid w:val="00077287"/>
    <w:rsid w:val="00077740"/>
    <w:rsid w:val="000777CB"/>
    <w:rsid w:val="00077A5C"/>
    <w:rsid w:val="00077B57"/>
    <w:rsid w:val="00077E0C"/>
    <w:rsid w:val="00077E34"/>
    <w:rsid w:val="00077EF2"/>
    <w:rsid w:val="000800B0"/>
    <w:rsid w:val="0008024C"/>
    <w:rsid w:val="00080309"/>
    <w:rsid w:val="00080310"/>
    <w:rsid w:val="00080671"/>
    <w:rsid w:val="00080C11"/>
    <w:rsid w:val="00080C95"/>
    <w:rsid w:val="00081388"/>
    <w:rsid w:val="00081389"/>
    <w:rsid w:val="000815CB"/>
    <w:rsid w:val="00081800"/>
    <w:rsid w:val="0008197B"/>
    <w:rsid w:val="000819A3"/>
    <w:rsid w:val="000819FD"/>
    <w:rsid w:val="00081B33"/>
    <w:rsid w:val="00081CFD"/>
    <w:rsid w:val="000822EA"/>
    <w:rsid w:val="0008245E"/>
    <w:rsid w:val="0008245F"/>
    <w:rsid w:val="0008270E"/>
    <w:rsid w:val="00082BAF"/>
    <w:rsid w:val="00082EF7"/>
    <w:rsid w:val="0008316D"/>
    <w:rsid w:val="00083539"/>
    <w:rsid w:val="000835E5"/>
    <w:rsid w:val="00083690"/>
    <w:rsid w:val="000836CE"/>
    <w:rsid w:val="000839F9"/>
    <w:rsid w:val="00083A60"/>
    <w:rsid w:val="00083DC4"/>
    <w:rsid w:val="00083EF3"/>
    <w:rsid w:val="00083F00"/>
    <w:rsid w:val="00084096"/>
    <w:rsid w:val="00084099"/>
    <w:rsid w:val="00084178"/>
    <w:rsid w:val="00084916"/>
    <w:rsid w:val="00084ACD"/>
    <w:rsid w:val="00084B19"/>
    <w:rsid w:val="00084B44"/>
    <w:rsid w:val="00084DB0"/>
    <w:rsid w:val="00085361"/>
    <w:rsid w:val="000853EB"/>
    <w:rsid w:val="00085514"/>
    <w:rsid w:val="0008573A"/>
    <w:rsid w:val="00085792"/>
    <w:rsid w:val="000857A5"/>
    <w:rsid w:val="000858BB"/>
    <w:rsid w:val="0008594A"/>
    <w:rsid w:val="00085B90"/>
    <w:rsid w:val="00085CE2"/>
    <w:rsid w:val="00085D89"/>
    <w:rsid w:val="000860C4"/>
    <w:rsid w:val="00086191"/>
    <w:rsid w:val="0008644C"/>
    <w:rsid w:val="000865E6"/>
    <w:rsid w:val="0008690A"/>
    <w:rsid w:val="00086956"/>
    <w:rsid w:val="00086B3E"/>
    <w:rsid w:val="00086FEE"/>
    <w:rsid w:val="00086FF6"/>
    <w:rsid w:val="000871AD"/>
    <w:rsid w:val="0008720F"/>
    <w:rsid w:val="000874DD"/>
    <w:rsid w:val="000875FF"/>
    <w:rsid w:val="0008792C"/>
    <w:rsid w:val="00087BB4"/>
    <w:rsid w:val="00087C06"/>
    <w:rsid w:val="000902D8"/>
    <w:rsid w:val="00090B9E"/>
    <w:rsid w:val="000913C3"/>
    <w:rsid w:val="000913D7"/>
    <w:rsid w:val="00091562"/>
    <w:rsid w:val="000916C6"/>
    <w:rsid w:val="00091AA2"/>
    <w:rsid w:val="00091DA2"/>
    <w:rsid w:val="000921A5"/>
    <w:rsid w:val="000923B1"/>
    <w:rsid w:val="000923BE"/>
    <w:rsid w:val="0009242C"/>
    <w:rsid w:val="000925FD"/>
    <w:rsid w:val="00092720"/>
    <w:rsid w:val="00092B49"/>
    <w:rsid w:val="00092E0E"/>
    <w:rsid w:val="00092E1D"/>
    <w:rsid w:val="00092F10"/>
    <w:rsid w:val="00093264"/>
    <w:rsid w:val="0009330A"/>
    <w:rsid w:val="0009366F"/>
    <w:rsid w:val="000937DF"/>
    <w:rsid w:val="00093BD2"/>
    <w:rsid w:val="00093CC5"/>
    <w:rsid w:val="00093DA8"/>
    <w:rsid w:val="00094676"/>
    <w:rsid w:val="00094760"/>
    <w:rsid w:val="00094845"/>
    <w:rsid w:val="00094AE7"/>
    <w:rsid w:val="00094F53"/>
    <w:rsid w:val="00095168"/>
    <w:rsid w:val="00095289"/>
    <w:rsid w:val="000953FD"/>
    <w:rsid w:val="0009566C"/>
    <w:rsid w:val="00095A47"/>
    <w:rsid w:val="00095B78"/>
    <w:rsid w:val="00095EFB"/>
    <w:rsid w:val="00095FE2"/>
    <w:rsid w:val="000961A4"/>
    <w:rsid w:val="0009638A"/>
    <w:rsid w:val="00096481"/>
    <w:rsid w:val="00096711"/>
    <w:rsid w:val="00096D7B"/>
    <w:rsid w:val="0009700B"/>
    <w:rsid w:val="00097262"/>
    <w:rsid w:val="00097641"/>
    <w:rsid w:val="00097733"/>
    <w:rsid w:val="00097739"/>
    <w:rsid w:val="0009779C"/>
    <w:rsid w:val="00097CB3"/>
    <w:rsid w:val="00097E31"/>
    <w:rsid w:val="00097FAD"/>
    <w:rsid w:val="000A018B"/>
    <w:rsid w:val="000A0887"/>
    <w:rsid w:val="000A08A6"/>
    <w:rsid w:val="000A09C2"/>
    <w:rsid w:val="000A0A27"/>
    <w:rsid w:val="000A100C"/>
    <w:rsid w:val="000A13A9"/>
    <w:rsid w:val="000A1496"/>
    <w:rsid w:val="000A180C"/>
    <w:rsid w:val="000A1A0B"/>
    <w:rsid w:val="000A2999"/>
    <w:rsid w:val="000A3022"/>
    <w:rsid w:val="000A30B9"/>
    <w:rsid w:val="000A3144"/>
    <w:rsid w:val="000A3238"/>
    <w:rsid w:val="000A3283"/>
    <w:rsid w:val="000A330D"/>
    <w:rsid w:val="000A3738"/>
    <w:rsid w:val="000A3899"/>
    <w:rsid w:val="000A38BB"/>
    <w:rsid w:val="000A3983"/>
    <w:rsid w:val="000A3985"/>
    <w:rsid w:val="000A3A26"/>
    <w:rsid w:val="000A4255"/>
    <w:rsid w:val="000A44B3"/>
    <w:rsid w:val="000A4763"/>
    <w:rsid w:val="000A5002"/>
    <w:rsid w:val="000A5095"/>
    <w:rsid w:val="000A522C"/>
    <w:rsid w:val="000A52B7"/>
    <w:rsid w:val="000A59AC"/>
    <w:rsid w:val="000A5A7F"/>
    <w:rsid w:val="000A5AC8"/>
    <w:rsid w:val="000A5B21"/>
    <w:rsid w:val="000A5DF5"/>
    <w:rsid w:val="000A7A97"/>
    <w:rsid w:val="000B029D"/>
    <w:rsid w:val="000B04BB"/>
    <w:rsid w:val="000B0525"/>
    <w:rsid w:val="000B05E6"/>
    <w:rsid w:val="000B0903"/>
    <w:rsid w:val="000B0CC9"/>
    <w:rsid w:val="000B0E32"/>
    <w:rsid w:val="000B1684"/>
    <w:rsid w:val="000B1835"/>
    <w:rsid w:val="000B2B1B"/>
    <w:rsid w:val="000B2C57"/>
    <w:rsid w:val="000B317B"/>
    <w:rsid w:val="000B3184"/>
    <w:rsid w:val="000B319A"/>
    <w:rsid w:val="000B31EF"/>
    <w:rsid w:val="000B3254"/>
    <w:rsid w:val="000B36E1"/>
    <w:rsid w:val="000B3825"/>
    <w:rsid w:val="000B3A6D"/>
    <w:rsid w:val="000B3A9A"/>
    <w:rsid w:val="000B3BB0"/>
    <w:rsid w:val="000B4006"/>
    <w:rsid w:val="000B41E6"/>
    <w:rsid w:val="000B444E"/>
    <w:rsid w:val="000B45CC"/>
    <w:rsid w:val="000B46D9"/>
    <w:rsid w:val="000B480B"/>
    <w:rsid w:val="000B5178"/>
    <w:rsid w:val="000B51F3"/>
    <w:rsid w:val="000B5444"/>
    <w:rsid w:val="000B5B68"/>
    <w:rsid w:val="000B5D3C"/>
    <w:rsid w:val="000B5E18"/>
    <w:rsid w:val="000B5F7F"/>
    <w:rsid w:val="000B5FC3"/>
    <w:rsid w:val="000B6775"/>
    <w:rsid w:val="000B685B"/>
    <w:rsid w:val="000B68CC"/>
    <w:rsid w:val="000B7160"/>
    <w:rsid w:val="000B745D"/>
    <w:rsid w:val="000B750A"/>
    <w:rsid w:val="000B760A"/>
    <w:rsid w:val="000B7642"/>
    <w:rsid w:val="000B7AF7"/>
    <w:rsid w:val="000B7C33"/>
    <w:rsid w:val="000B7DEF"/>
    <w:rsid w:val="000C0476"/>
    <w:rsid w:val="000C059A"/>
    <w:rsid w:val="000C05F7"/>
    <w:rsid w:val="000C0628"/>
    <w:rsid w:val="000C0906"/>
    <w:rsid w:val="000C0D6E"/>
    <w:rsid w:val="000C0FB2"/>
    <w:rsid w:val="000C11C8"/>
    <w:rsid w:val="000C1317"/>
    <w:rsid w:val="000C14F6"/>
    <w:rsid w:val="000C152B"/>
    <w:rsid w:val="000C1896"/>
    <w:rsid w:val="000C1C47"/>
    <w:rsid w:val="000C1C99"/>
    <w:rsid w:val="000C1E87"/>
    <w:rsid w:val="000C1FF6"/>
    <w:rsid w:val="000C2044"/>
    <w:rsid w:val="000C2149"/>
    <w:rsid w:val="000C21E1"/>
    <w:rsid w:val="000C225E"/>
    <w:rsid w:val="000C22AF"/>
    <w:rsid w:val="000C22CC"/>
    <w:rsid w:val="000C2424"/>
    <w:rsid w:val="000C2DB3"/>
    <w:rsid w:val="000C2EB0"/>
    <w:rsid w:val="000C3019"/>
    <w:rsid w:val="000C30D0"/>
    <w:rsid w:val="000C35AC"/>
    <w:rsid w:val="000C3692"/>
    <w:rsid w:val="000C3925"/>
    <w:rsid w:val="000C39A2"/>
    <w:rsid w:val="000C3FFB"/>
    <w:rsid w:val="000C408C"/>
    <w:rsid w:val="000C424A"/>
    <w:rsid w:val="000C456B"/>
    <w:rsid w:val="000C48FE"/>
    <w:rsid w:val="000C49C0"/>
    <w:rsid w:val="000C4B77"/>
    <w:rsid w:val="000C4C52"/>
    <w:rsid w:val="000C510A"/>
    <w:rsid w:val="000C513D"/>
    <w:rsid w:val="000C5438"/>
    <w:rsid w:val="000C54FD"/>
    <w:rsid w:val="000C56C0"/>
    <w:rsid w:val="000C58C8"/>
    <w:rsid w:val="000C5974"/>
    <w:rsid w:val="000C5D6B"/>
    <w:rsid w:val="000C5EC8"/>
    <w:rsid w:val="000C68AE"/>
    <w:rsid w:val="000C68F2"/>
    <w:rsid w:val="000C6988"/>
    <w:rsid w:val="000C6C84"/>
    <w:rsid w:val="000C71C8"/>
    <w:rsid w:val="000C72C1"/>
    <w:rsid w:val="000C73C1"/>
    <w:rsid w:val="000C779E"/>
    <w:rsid w:val="000C7D36"/>
    <w:rsid w:val="000C7DB4"/>
    <w:rsid w:val="000C7F1B"/>
    <w:rsid w:val="000D02F8"/>
    <w:rsid w:val="000D0337"/>
    <w:rsid w:val="000D037F"/>
    <w:rsid w:val="000D044A"/>
    <w:rsid w:val="000D08D3"/>
    <w:rsid w:val="000D0DA8"/>
    <w:rsid w:val="000D0DC9"/>
    <w:rsid w:val="000D0E84"/>
    <w:rsid w:val="000D0EC4"/>
    <w:rsid w:val="000D0F6E"/>
    <w:rsid w:val="000D1168"/>
    <w:rsid w:val="000D163B"/>
    <w:rsid w:val="000D18CE"/>
    <w:rsid w:val="000D1D06"/>
    <w:rsid w:val="000D1D83"/>
    <w:rsid w:val="000D209D"/>
    <w:rsid w:val="000D22FD"/>
    <w:rsid w:val="000D252F"/>
    <w:rsid w:val="000D2562"/>
    <w:rsid w:val="000D278C"/>
    <w:rsid w:val="000D301B"/>
    <w:rsid w:val="000D307D"/>
    <w:rsid w:val="000D33A2"/>
    <w:rsid w:val="000D3E3D"/>
    <w:rsid w:val="000D3E43"/>
    <w:rsid w:val="000D3FB6"/>
    <w:rsid w:val="000D414E"/>
    <w:rsid w:val="000D429C"/>
    <w:rsid w:val="000D46F5"/>
    <w:rsid w:val="000D4724"/>
    <w:rsid w:val="000D4A0E"/>
    <w:rsid w:val="000D4A72"/>
    <w:rsid w:val="000D4FEB"/>
    <w:rsid w:val="000D522B"/>
    <w:rsid w:val="000D5346"/>
    <w:rsid w:val="000D5388"/>
    <w:rsid w:val="000D5FF5"/>
    <w:rsid w:val="000D6001"/>
    <w:rsid w:val="000D63D5"/>
    <w:rsid w:val="000D6493"/>
    <w:rsid w:val="000D6BA6"/>
    <w:rsid w:val="000D739B"/>
    <w:rsid w:val="000D78C7"/>
    <w:rsid w:val="000D7B1C"/>
    <w:rsid w:val="000D7B55"/>
    <w:rsid w:val="000E040A"/>
    <w:rsid w:val="000E05D9"/>
    <w:rsid w:val="000E11EA"/>
    <w:rsid w:val="000E130A"/>
    <w:rsid w:val="000E1322"/>
    <w:rsid w:val="000E1410"/>
    <w:rsid w:val="000E1500"/>
    <w:rsid w:val="000E1C8E"/>
    <w:rsid w:val="000E1ED2"/>
    <w:rsid w:val="000E20A4"/>
    <w:rsid w:val="000E217E"/>
    <w:rsid w:val="000E24D5"/>
    <w:rsid w:val="000E2818"/>
    <w:rsid w:val="000E286A"/>
    <w:rsid w:val="000E290B"/>
    <w:rsid w:val="000E2F20"/>
    <w:rsid w:val="000E312B"/>
    <w:rsid w:val="000E31C2"/>
    <w:rsid w:val="000E358E"/>
    <w:rsid w:val="000E3785"/>
    <w:rsid w:val="000E3A8A"/>
    <w:rsid w:val="000E3FA5"/>
    <w:rsid w:val="000E427E"/>
    <w:rsid w:val="000E453E"/>
    <w:rsid w:val="000E4EC0"/>
    <w:rsid w:val="000E4F5F"/>
    <w:rsid w:val="000E554D"/>
    <w:rsid w:val="000E5567"/>
    <w:rsid w:val="000E58E1"/>
    <w:rsid w:val="000E5960"/>
    <w:rsid w:val="000E5BCA"/>
    <w:rsid w:val="000E5E75"/>
    <w:rsid w:val="000E64D7"/>
    <w:rsid w:val="000E6C14"/>
    <w:rsid w:val="000E7069"/>
    <w:rsid w:val="000E70E8"/>
    <w:rsid w:val="000E7181"/>
    <w:rsid w:val="000E7206"/>
    <w:rsid w:val="000E78EF"/>
    <w:rsid w:val="000E7B79"/>
    <w:rsid w:val="000E7CA4"/>
    <w:rsid w:val="000E7CAA"/>
    <w:rsid w:val="000E7E18"/>
    <w:rsid w:val="000E7E1D"/>
    <w:rsid w:val="000F005E"/>
    <w:rsid w:val="000F01E8"/>
    <w:rsid w:val="000F022A"/>
    <w:rsid w:val="000F026F"/>
    <w:rsid w:val="000F03D0"/>
    <w:rsid w:val="000F0427"/>
    <w:rsid w:val="000F0510"/>
    <w:rsid w:val="000F1047"/>
    <w:rsid w:val="000F11DC"/>
    <w:rsid w:val="000F141D"/>
    <w:rsid w:val="000F1AFF"/>
    <w:rsid w:val="000F23EC"/>
    <w:rsid w:val="000F2B1D"/>
    <w:rsid w:val="000F30FE"/>
    <w:rsid w:val="000F31DB"/>
    <w:rsid w:val="000F3A2B"/>
    <w:rsid w:val="000F3A39"/>
    <w:rsid w:val="000F3BF9"/>
    <w:rsid w:val="000F44C1"/>
    <w:rsid w:val="000F477A"/>
    <w:rsid w:val="000F478F"/>
    <w:rsid w:val="000F4829"/>
    <w:rsid w:val="000F4942"/>
    <w:rsid w:val="000F4A73"/>
    <w:rsid w:val="000F4ADD"/>
    <w:rsid w:val="000F4BA5"/>
    <w:rsid w:val="000F4F1A"/>
    <w:rsid w:val="000F539F"/>
    <w:rsid w:val="000F5545"/>
    <w:rsid w:val="000F58F3"/>
    <w:rsid w:val="000F5B3A"/>
    <w:rsid w:val="000F5C21"/>
    <w:rsid w:val="000F5CDC"/>
    <w:rsid w:val="000F5E79"/>
    <w:rsid w:val="000F5F0F"/>
    <w:rsid w:val="000F5FCB"/>
    <w:rsid w:val="000F6573"/>
    <w:rsid w:val="000F674D"/>
    <w:rsid w:val="000F6830"/>
    <w:rsid w:val="000F6C8A"/>
    <w:rsid w:val="000F720A"/>
    <w:rsid w:val="000F749C"/>
    <w:rsid w:val="000F7AA0"/>
    <w:rsid w:val="00100286"/>
    <w:rsid w:val="00100312"/>
    <w:rsid w:val="001004B6"/>
    <w:rsid w:val="00100678"/>
    <w:rsid w:val="00100ACE"/>
    <w:rsid w:val="00100F07"/>
    <w:rsid w:val="001010DC"/>
    <w:rsid w:val="0010171E"/>
    <w:rsid w:val="00101C2A"/>
    <w:rsid w:val="00101C31"/>
    <w:rsid w:val="00101CE5"/>
    <w:rsid w:val="001020EB"/>
    <w:rsid w:val="00102990"/>
    <w:rsid w:val="00102A43"/>
    <w:rsid w:val="00102B0A"/>
    <w:rsid w:val="00102C9E"/>
    <w:rsid w:val="00102DFD"/>
    <w:rsid w:val="0010300A"/>
    <w:rsid w:val="0010326A"/>
    <w:rsid w:val="001032A2"/>
    <w:rsid w:val="00103639"/>
    <w:rsid w:val="0010398F"/>
    <w:rsid w:val="00103DAF"/>
    <w:rsid w:val="001040A3"/>
    <w:rsid w:val="001041F1"/>
    <w:rsid w:val="0010433A"/>
    <w:rsid w:val="001043C1"/>
    <w:rsid w:val="001043C5"/>
    <w:rsid w:val="001045D4"/>
    <w:rsid w:val="00104FF0"/>
    <w:rsid w:val="00105175"/>
    <w:rsid w:val="0010529E"/>
    <w:rsid w:val="00105746"/>
    <w:rsid w:val="001059A3"/>
    <w:rsid w:val="00105FE3"/>
    <w:rsid w:val="0010657B"/>
    <w:rsid w:val="00106707"/>
    <w:rsid w:val="001069E5"/>
    <w:rsid w:val="00106B0A"/>
    <w:rsid w:val="00106B19"/>
    <w:rsid w:val="00106D79"/>
    <w:rsid w:val="001070CB"/>
    <w:rsid w:val="001074DA"/>
    <w:rsid w:val="001074ED"/>
    <w:rsid w:val="0010752A"/>
    <w:rsid w:val="00107692"/>
    <w:rsid w:val="0010769F"/>
    <w:rsid w:val="00107883"/>
    <w:rsid w:val="00107B7A"/>
    <w:rsid w:val="00107B91"/>
    <w:rsid w:val="00107E13"/>
    <w:rsid w:val="00107EE8"/>
    <w:rsid w:val="0011014B"/>
    <w:rsid w:val="001101F9"/>
    <w:rsid w:val="00110280"/>
    <w:rsid w:val="00110347"/>
    <w:rsid w:val="0011050B"/>
    <w:rsid w:val="001106DF"/>
    <w:rsid w:val="00110EAA"/>
    <w:rsid w:val="00111636"/>
    <w:rsid w:val="001116AF"/>
    <w:rsid w:val="001119E2"/>
    <w:rsid w:val="00111C35"/>
    <w:rsid w:val="00111C92"/>
    <w:rsid w:val="00111E7F"/>
    <w:rsid w:val="00112311"/>
    <w:rsid w:val="001124CB"/>
    <w:rsid w:val="00112B7E"/>
    <w:rsid w:val="00112F06"/>
    <w:rsid w:val="00112FC7"/>
    <w:rsid w:val="001135E3"/>
    <w:rsid w:val="00113C6D"/>
    <w:rsid w:val="00113E57"/>
    <w:rsid w:val="001144AA"/>
    <w:rsid w:val="0011458D"/>
    <w:rsid w:val="001145C7"/>
    <w:rsid w:val="001145D2"/>
    <w:rsid w:val="0011461A"/>
    <w:rsid w:val="001146FC"/>
    <w:rsid w:val="00114AE6"/>
    <w:rsid w:val="00115055"/>
    <w:rsid w:val="00115146"/>
    <w:rsid w:val="001153B3"/>
    <w:rsid w:val="001156F3"/>
    <w:rsid w:val="001158BB"/>
    <w:rsid w:val="00115919"/>
    <w:rsid w:val="00115BE4"/>
    <w:rsid w:val="00115BFB"/>
    <w:rsid w:val="00115DFE"/>
    <w:rsid w:val="00116109"/>
    <w:rsid w:val="0011663D"/>
    <w:rsid w:val="0011664E"/>
    <w:rsid w:val="0011680F"/>
    <w:rsid w:val="00116B5F"/>
    <w:rsid w:val="00116BCE"/>
    <w:rsid w:val="00116DBC"/>
    <w:rsid w:val="00116E70"/>
    <w:rsid w:val="00117216"/>
    <w:rsid w:val="00117396"/>
    <w:rsid w:val="001173A6"/>
    <w:rsid w:val="00117B39"/>
    <w:rsid w:val="00117C52"/>
    <w:rsid w:val="00117FE5"/>
    <w:rsid w:val="00120078"/>
    <w:rsid w:val="001200C2"/>
    <w:rsid w:val="00120C39"/>
    <w:rsid w:val="00120D6A"/>
    <w:rsid w:val="00120E3D"/>
    <w:rsid w:val="00120E83"/>
    <w:rsid w:val="0012110E"/>
    <w:rsid w:val="00121187"/>
    <w:rsid w:val="0012153B"/>
    <w:rsid w:val="00121B17"/>
    <w:rsid w:val="00121B29"/>
    <w:rsid w:val="00121F70"/>
    <w:rsid w:val="00122139"/>
    <w:rsid w:val="0012229C"/>
    <w:rsid w:val="00122462"/>
    <w:rsid w:val="001226EB"/>
    <w:rsid w:val="00122AB4"/>
    <w:rsid w:val="00122C90"/>
    <w:rsid w:val="00122CD4"/>
    <w:rsid w:val="00122DD3"/>
    <w:rsid w:val="00123077"/>
    <w:rsid w:val="001231C2"/>
    <w:rsid w:val="001233A9"/>
    <w:rsid w:val="00123596"/>
    <w:rsid w:val="00123666"/>
    <w:rsid w:val="001237C1"/>
    <w:rsid w:val="0012398E"/>
    <w:rsid w:val="001239B1"/>
    <w:rsid w:val="00123BAC"/>
    <w:rsid w:val="00123EBE"/>
    <w:rsid w:val="00123EC6"/>
    <w:rsid w:val="001240C9"/>
    <w:rsid w:val="00124667"/>
    <w:rsid w:val="0012470D"/>
    <w:rsid w:val="00124ADC"/>
    <w:rsid w:val="00124E61"/>
    <w:rsid w:val="001250D2"/>
    <w:rsid w:val="0012531E"/>
    <w:rsid w:val="00125670"/>
    <w:rsid w:val="00125994"/>
    <w:rsid w:val="00126655"/>
    <w:rsid w:val="00127143"/>
    <w:rsid w:val="0012714D"/>
    <w:rsid w:val="001279AC"/>
    <w:rsid w:val="00127AFF"/>
    <w:rsid w:val="00127B5D"/>
    <w:rsid w:val="00127E93"/>
    <w:rsid w:val="00130576"/>
    <w:rsid w:val="001309C8"/>
    <w:rsid w:val="00130A55"/>
    <w:rsid w:val="00130D06"/>
    <w:rsid w:val="00130EAA"/>
    <w:rsid w:val="00130F82"/>
    <w:rsid w:val="00131488"/>
    <w:rsid w:val="001319BE"/>
    <w:rsid w:val="00131AA5"/>
    <w:rsid w:val="00131AF4"/>
    <w:rsid w:val="00131C64"/>
    <w:rsid w:val="00132383"/>
    <w:rsid w:val="00132387"/>
    <w:rsid w:val="00132411"/>
    <w:rsid w:val="00132654"/>
    <w:rsid w:val="0013265E"/>
    <w:rsid w:val="00132D91"/>
    <w:rsid w:val="00132DFC"/>
    <w:rsid w:val="00133151"/>
    <w:rsid w:val="00133492"/>
    <w:rsid w:val="001334FC"/>
    <w:rsid w:val="001335F0"/>
    <w:rsid w:val="00133827"/>
    <w:rsid w:val="0013384D"/>
    <w:rsid w:val="001338F7"/>
    <w:rsid w:val="00133DCD"/>
    <w:rsid w:val="0013405D"/>
    <w:rsid w:val="0013445E"/>
    <w:rsid w:val="001347ED"/>
    <w:rsid w:val="00134929"/>
    <w:rsid w:val="001349B0"/>
    <w:rsid w:val="00134B01"/>
    <w:rsid w:val="00134F41"/>
    <w:rsid w:val="0013556E"/>
    <w:rsid w:val="001355E7"/>
    <w:rsid w:val="001358FA"/>
    <w:rsid w:val="00135DA6"/>
    <w:rsid w:val="00135E3E"/>
    <w:rsid w:val="00135FE9"/>
    <w:rsid w:val="00136178"/>
    <w:rsid w:val="001361D0"/>
    <w:rsid w:val="00136403"/>
    <w:rsid w:val="00136467"/>
    <w:rsid w:val="0013697C"/>
    <w:rsid w:val="001374FF"/>
    <w:rsid w:val="001375A2"/>
    <w:rsid w:val="00137604"/>
    <w:rsid w:val="0013779F"/>
    <w:rsid w:val="0013780D"/>
    <w:rsid w:val="00137919"/>
    <w:rsid w:val="00137B78"/>
    <w:rsid w:val="00137BC8"/>
    <w:rsid w:val="00137DEF"/>
    <w:rsid w:val="00140380"/>
    <w:rsid w:val="001403E2"/>
    <w:rsid w:val="00140AB2"/>
    <w:rsid w:val="00140AEA"/>
    <w:rsid w:val="00140C94"/>
    <w:rsid w:val="00140D0E"/>
    <w:rsid w:val="0014120C"/>
    <w:rsid w:val="001414A9"/>
    <w:rsid w:val="00141C51"/>
    <w:rsid w:val="00141D7F"/>
    <w:rsid w:val="00141F78"/>
    <w:rsid w:val="00141F88"/>
    <w:rsid w:val="001425BF"/>
    <w:rsid w:val="00142780"/>
    <w:rsid w:val="00142792"/>
    <w:rsid w:val="001427FF"/>
    <w:rsid w:val="001428EF"/>
    <w:rsid w:val="00143020"/>
    <w:rsid w:val="00143022"/>
    <w:rsid w:val="00143072"/>
    <w:rsid w:val="0014363B"/>
    <w:rsid w:val="00143841"/>
    <w:rsid w:val="00143936"/>
    <w:rsid w:val="00143B34"/>
    <w:rsid w:val="00143F36"/>
    <w:rsid w:val="00143FD5"/>
    <w:rsid w:val="00144078"/>
    <w:rsid w:val="00144185"/>
    <w:rsid w:val="0014421B"/>
    <w:rsid w:val="00144230"/>
    <w:rsid w:val="001443E7"/>
    <w:rsid w:val="00144437"/>
    <w:rsid w:val="001444BC"/>
    <w:rsid w:val="00144551"/>
    <w:rsid w:val="00144580"/>
    <w:rsid w:val="00144737"/>
    <w:rsid w:val="00144A23"/>
    <w:rsid w:val="00144B08"/>
    <w:rsid w:val="00144BFE"/>
    <w:rsid w:val="00145476"/>
    <w:rsid w:val="001458BE"/>
    <w:rsid w:val="00145A85"/>
    <w:rsid w:val="00145AA1"/>
    <w:rsid w:val="00145C99"/>
    <w:rsid w:val="0014601A"/>
    <w:rsid w:val="001460AE"/>
    <w:rsid w:val="00146137"/>
    <w:rsid w:val="00146155"/>
    <w:rsid w:val="00146571"/>
    <w:rsid w:val="00146586"/>
    <w:rsid w:val="001468A6"/>
    <w:rsid w:val="00146BE7"/>
    <w:rsid w:val="00146DF8"/>
    <w:rsid w:val="0014713C"/>
    <w:rsid w:val="001474C9"/>
    <w:rsid w:val="001476B5"/>
    <w:rsid w:val="00147797"/>
    <w:rsid w:val="00147815"/>
    <w:rsid w:val="001479CF"/>
    <w:rsid w:val="00150222"/>
    <w:rsid w:val="00150397"/>
    <w:rsid w:val="001503BB"/>
    <w:rsid w:val="0015046F"/>
    <w:rsid w:val="0015047E"/>
    <w:rsid w:val="001506D9"/>
    <w:rsid w:val="00150A39"/>
    <w:rsid w:val="00150B1B"/>
    <w:rsid w:val="00151265"/>
    <w:rsid w:val="00151A76"/>
    <w:rsid w:val="00151C5D"/>
    <w:rsid w:val="00151D54"/>
    <w:rsid w:val="00151E27"/>
    <w:rsid w:val="00152045"/>
    <w:rsid w:val="001521E3"/>
    <w:rsid w:val="00152372"/>
    <w:rsid w:val="001527CB"/>
    <w:rsid w:val="00152844"/>
    <w:rsid w:val="00152A95"/>
    <w:rsid w:val="00152AAF"/>
    <w:rsid w:val="00152B8C"/>
    <w:rsid w:val="00152DF9"/>
    <w:rsid w:val="00153454"/>
    <w:rsid w:val="00153527"/>
    <w:rsid w:val="00153611"/>
    <w:rsid w:val="00153725"/>
    <w:rsid w:val="00153AC9"/>
    <w:rsid w:val="00153C12"/>
    <w:rsid w:val="00153F9B"/>
    <w:rsid w:val="0015404A"/>
    <w:rsid w:val="0015429A"/>
    <w:rsid w:val="00154427"/>
    <w:rsid w:val="001547FA"/>
    <w:rsid w:val="001551FA"/>
    <w:rsid w:val="0015520A"/>
    <w:rsid w:val="00155373"/>
    <w:rsid w:val="0015561F"/>
    <w:rsid w:val="0015581A"/>
    <w:rsid w:val="0015593F"/>
    <w:rsid w:val="00155A91"/>
    <w:rsid w:val="00155B82"/>
    <w:rsid w:val="00155C24"/>
    <w:rsid w:val="00155E6D"/>
    <w:rsid w:val="00155E8B"/>
    <w:rsid w:val="001560F5"/>
    <w:rsid w:val="001567E9"/>
    <w:rsid w:val="00156C39"/>
    <w:rsid w:val="00156D67"/>
    <w:rsid w:val="00156D92"/>
    <w:rsid w:val="00157261"/>
    <w:rsid w:val="00157494"/>
    <w:rsid w:val="00157867"/>
    <w:rsid w:val="00157E7E"/>
    <w:rsid w:val="001602C2"/>
    <w:rsid w:val="001605EA"/>
    <w:rsid w:val="00160D2B"/>
    <w:rsid w:val="00160D63"/>
    <w:rsid w:val="00160E58"/>
    <w:rsid w:val="001613FA"/>
    <w:rsid w:val="00161482"/>
    <w:rsid w:val="001614A0"/>
    <w:rsid w:val="001615AA"/>
    <w:rsid w:val="001617BE"/>
    <w:rsid w:val="00161903"/>
    <w:rsid w:val="00161A81"/>
    <w:rsid w:val="00162657"/>
    <w:rsid w:val="0016268B"/>
    <w:rsid w:val="00162768"/>
    <w:rsid w:val="00162C8D"/>
    <w:rsid w:val="00162F26"/>
    <w:rsid w:val="00162F29"/>
    <w:rsid w:val="001630FC"/>
    <w:rsid w:val="00163316"/>
    <w:rsid w:val="00163439"/>
    <w:rsid w:val="0016359C"/>
    <w:rsid w:val="001637CC"/>
    <w:rsid w:val="00163BC6"/>
    <w:rsid w:val="00163DE9"/>
    <w:rsid w:val="00163F23"/>
    <w:rsid w:val="0016443A"/>
    <w:rsid w:val="0016482F"/>
    <w:rsid w:val="00165023"/>
    <w:rsid w:val="0016551C"/>
    <w:rsid w:val="001655B1"/>
    <w:rsid w:val="001655C6"/>
    <w:rsid w:val="001656DC"/>
    <w:rsid w:val="00165A1E"/>
    <w:rsid w:val="00165ACA"/>
    <w:rsid w:val="00165C7E"/>
    <w:rsid w:val="0016618D"/>
    <w:rsid w:val="001661C6"/>
    <w:rsid w:val="001662D8"/>
    <w:rsid w:val="001662E8"/>
    <w:rsid w:val="00167034"/>
    <w:rsid w:val="001671AA"/>
    <w:rsid w:val="00167319"/>
    <w:rsid w:val="00167782"/>
    <w:rsid w:val="0016788C"/>
    <w:rsid w:val="00167BBF"/>
    <w:rsid w:val="00167BDE"/>
    <w:rsid w:val="001700B7"/>
    <w:rsid w:val="00170492"/>
    <w:rsid w:val="00170569"/>
    <w:rsid w:val="00170672"/>
    <w:rsid w:val="00170A0C"/>
    <w:rsid w:val="00170C9F"/>
    <w:rsid w:val="00170DC5"/>
    <w:rsid w:val="00170F88"/>
    <w:rsid w:val="001712F5"/>
    <w:rsid w:val="001715DE"/>
    <w:rsid w:val="00171B39"/>
    <w:rsid w:val="00171DD1"/>
    <w:rsid w:val="00172200"/>
    <w:rsid w:val="00172605"/>
    <w:rsid w:val="00172DB3"/>
    <w:rsid w:val="00172DFF"/>
    <w:rsid w:val="00173220"/>
    <w:rsid w:val="0017330E"/>
    <w:rsid w:val="00173465"/>
    <w:rsid w:val="00173485"/>
    <w:rsid w:val="00173AFC"/>
    <w:rsid w:val="00173B79"/>
    <w:rsid w:val="00173D76"/>
    <w:rsid w:val="00173FDB"/>
    <w:rsid w:val="001740DC"/>
    <w:rsid w:val="0017419C"/>
    <w:rsid w:val="001741AE"/>
    <w:rsid w:val="001746D8"/>
    <w:rsid w:val="00174787"/>
    <w:rsid w:val="001747CA"/>
    <w:rsid w:val="00174A35"/>
    <w:rsid w:val="00174A8A"/>
    <w:rsid w:val="00174BF9"/>
    <w:rsid w:val="00174CFB"/>
    <w:rsid w:val="00174D56"/>
    <w:rsid w:val="00174DA5"/>
    <w:rsid w:val="00175011"/>
    <w:rsid w:val="001752B9"/>
    <w:rsid w:val="00175400"/>
    <w:rsid w:val="00175471"/>
    <w:rsid w:val="001754B1"/>
    <w:rsid w:val="0017559D"/>
    <w:rsid w:val="0017597B"/>
    <w:rsid w:val="00175D24"/>
    <w:rsid w:val="00175E93"/>
    <w:rsid w:val="00175FC3"/>
    <w:rsid w:val="0017613B"/>
    <w:rsid w:val="00176315"/>
    <w:rsid w:val="00176428"/>
    <w:rsid w:val="001768E2"/>
    <w:rsid w:val="00176CB5"/>
    <w:rsid w:val="00176D12"/>
    <w:rsid w:val="00176E6F"/>
    <w:rsid w:val="001774C6"/>
    <w:rsid w:val="00177539"/>
    <w:rsid w:val="00177864"/>
    <w:rsid w:val="001778F3"/>
    <w:rsid w:val="001778F4"/>
    <w:rsid w:val="00177E50"/>
    <w:rsid w:val="00177F0A"/>
    <w:rsid w:val="00177FFC"/>
    <w:rsid w:val="00180193"/>
    <w:rsid w:val="00180342"/>
    <w:rsid w:val="001806E2"/>
    <w:rsid w:val="00180950"/>
    <w:rsid w:val="00180A12"/>
    <w:rsid w:val="00180A3C"/>
    <w:rsid w:val="00181225"/>
    <w:rsid w:val="00181451"/>
    <w:rsid w:val="00181507"/>
    <w:rsid w:val="00181A40"/>
    <w:rsid w:val="00181CE5"/>
    <w:rsid w:val="00181DFF"/>
    <w:rsid w:val="001824DE"/>
    <w:rsid w:val="001826DD"/>
    <w:rsid w:val="001826F7"/>
    <w:rsid w:val="00182859"/>
    <w:rsid w:val="00182B5B"/>
    <w:rsid w:val="00182D5F"/>
    <w:rsid w:val="00183339"/>
    <w:rsid w:val="0018339B"/>
    <w:rsid w:val="001835FE"/>
    <w:rsid w:val="001837B7"/>
    <w:rsid w:val="00183CBA"/>
    <w:rsid w:val="00183E6E"/>
    <w:rsid w:val="00184435"/>
    <w:rsid w:val="0018492A"/>
    <w:rsid w:val="00184A5E"/>
    <w:rsid w:val="00184C46"/>
    <w:rsid w:val="00184CCF"/>
    <w:rsid w:val="00184CED"/>
    <w:rsid w:val="00184D47"/>
    <w:rsid w:val="00184E3E"/>
    <w:rsid w:val="00184E67"/>
    <w:rsid w:val="00184EBE"/>
    <w:rsid w:val="00185723"/>
    <w:rsid w:val="0018574C"/>
    <w:rsid w:val="001859E2"/>
    <w:rsid w:val="00185CD4"/>
    <w:rsid w:val="00185E44"/>
    <w:rsid w:val="00186234"/>
    <w:rsid w:val="0018685B"/>
    <w:rsid w:val="00186C95"/>
    <w:rsid w:val="00187470"/>
    <w:rsid w:val="001877A9"/>
    <w:rsid w:val="00187AF3"/>
    <w:rsid w:val="00187BD0"/>
    <w:rsid w:val="00187E02"/>
    <w:rsid w:val="00187E27"/>
    <w:rsid w:val="0019007E"/>
    <w:rsid w:val="001900B6"/>
    <w:rsid w:val="001902C3"/>
    <w:rsid w:val="001905EA"/>
    <w:rsid w:val="001909B3"/>
    <w:rsid w:val="00190AA3"/>
    <w:rsid w:val="00190C3A"/>
    <w:rsid w:val="00190C45"/>
    <w:rsid w:val="00190F49"/>
    <w:rsid w:val="00191036"/>
    <w:rsid w:val="0019131B"/>
    <w:rsid w:val="001914CC"/>
    <w:rsid w:val="00191558"/>
    <w:rsid w:val="00191A9D"/>
    <w:rsid w:val="00191C65"/>
    <w:rsid w:val="00191D1E"/>
    <w:rsid w:val="00191D6A"/>
    <w:rsid w:val="00192101"/>
    <w:rsid w:val="0019233C"/>
    <w:rsid w:val="00192536"/>
    <w:rsid w:val="0019256F"/>
    <w:rsid w:val="00192729"/>
    <w:rsid w:val="0019281C"/>
    <w:rsid w:val="00192B8E"/>
    <w:rsid w:val="00192BFA"/>
    <w:rsid w:val="00192C11"/>
    <w:rsid w:val="00192FBC"/>
    <w:rsid w:val="0019346A"/>
    <w:rsid w:val="0019353E"/>
    <w:rsid w:val="00193672"/>
    <w:rsid w:val="00193686"/>
    <w:rsid w:val="00193875"/>
    <w:rsid w:val="00193AA7"/>
    <w:rsid w:val="00193D3C"/>
    <w:rsid w:val="001942AE"/>
    <w:rsid w:val="00194361"/>
    <w:rsid w:val="001945B2"/>
    <w:rsid w:val="00194798"/>
    <w:rsid w:val="00194EBC"/>
    <w:rsid w:val="00194ED8"/>
    <w:rsid w:val="00194FA2"/>
    <w:rsid w:val="00195212"/>
    <w:rsid w:val="00195238"/>
    <w:rsid w:val="0019538F"/>
    <w:rsid w:val="0019568F"/>
    <w:rsid w:val="00195732"/>
    <w:rsid w:val="00195AD6"/>
    <w:rsid w:val="00195C99"/>
    <w:rsid w:val="00195DD9"/>
    <w:rsid w:val="00195EF7"/>
    <w:rsid w:val="00196100"/>
    <w:rsid w:val="00196462"/>
    <w:rsid w:val="0019655D"/>
    <w:rsid w:val="001966E6"/>
    <w:rsid w:val="00196722"/>
    <w:rsid w:val="0019695B"/>
    <w:rsid w:val="00196AAD"/>
    <w:rsid w:val="0019702C"/>
    <w:rsid w:val="00197049"/>
    <w:rsid w:val="0019733F"/>
    <w:rsid w:val="001976BD"/>
    <w:rsid w:val="00197AB4"/>
    <w:rsid w:val="00197DC4"/>
    <w:rsid w:val="00197F51"/>
    <w:rsid w:val="001A0495"/>
    <w:rsid w:val="001A060E"/>
    <w:rsid w:val="001A07DC"/>
    <w:rsid w:val="001A0841"/>
    <w:rsid w:val="001A0919"/>
    <w:rsid w:val="001A0962"/>
    <w:rsid w:val="001A0992"/>
    <w:rsid w:val="001A0AD6"/>
    <w:rsid w:val="001A0F35"/>
    <w:rsid w:val="001A162C"/>
    <w:rsid w:val="001A16E2"/>
    <w:rsid w:val="001A1726"/>
    <w:rsid w:val="001A1764"/>
    <w:rsid w:val="001A1902"/>
    <w:rsid w:val="001A194D"/>
    <w:rsid w:val="001A1A1F"/>
    <w:rsid w:val="001A1F56"/>
    <w:rsid w:val="001A20C2"/>
    <w:rsid w:val="001A2206"/>
    <w:rsid w:val="001A2EF3"/>
    <w:rsid w:val="001A38BC"/>
    <w:rsid w:val="001A38E1"/>
    <w:rsid w:val="001A39E7"/>
    <w:rsid w:val="001A3A51"/>
    <w:rsid w:val="001A3A5C"/>
    <w:rsid w:val="001A3AFD"/>
    <w:rsid w:val="001A3B1D"/>
    <w:rsid w:val="001A3E81"/>
    <w:rsid w:val="001A40F6"/>
    <w:rsid w:val="001A4130"/>
    <w:rsid w:val="001A41E1"/>
    <w:rsid w:val="001A431C"/>
    <w:rsid w:val="001A4453"/>
    <w:rsid w:val="001A47BE"/>
    <w:rsid w:val="001A4A63"/>
    <w:rsid w:val="001A4E0D"/>
    <w:rsid w:val="001A4F2C"/>
    <w:rsid w:val="001A543B"/>
    <w:rsid w:val="001A547C"/>
    <w:rsid w:val="001A551A"/>
    <w:rsid w:val="001A589F"/>
    <w:rsid w:val="001A5951"/>
    <w:rsid w:val="001A59E4"/>
    <w:rsid w:val="001A5B43"/>
    <w:rsid w:val="001A5C13"/>
    <w:rsid w:val="001A5E9A"/>
    <w:rsid w:val="001A6037"/>
    <w:rsid w:val="001A60CA"/>
    <w:rsid w:val="001A66FD"/>
    <w:rsid w:val="001A6901"/>
    <w:rsid w:val="001A6B93"/>
    <w:rsid w:val="001A6DD5"/>
    <w:rsid w:val="001A6F51"/>
    <w:rsid w:val="001A6F97"/>
    <w:rsid w:val="001A758D"/>
    <w:rsid w:val="001B0877"/>
    <w:rsid w:val="001B0C84"/>
    <w:rsid w:val="001B0F10"/>
    <w:rsid w:val="001B0F73"/>
    <w:rsid w:val="001B12BB"/>
    <w:rsid w:val="001B1885"/>
    <w:rsid w:val="001B1BA9"/>
    <w:rsid w:val="001B1C2A"/>
    <w:rsid w:val="001B1D64"/>
    <w:rsid w:val="001B1DFC"/>
    <w:rsid w:val="001B222D"/>
    <w:rsid w:val="001B22BD"/>
    <w:rsid w:val="001B2A8B"/>
    <w:rsid w:val="001B2AC2"/>
    <w:rsid w:val="001B2CA8"/>
    <w:rsid w:val="001B2D3F"/>
    <w:rsid w:val="001B2E51"/>
    <w:rsid w:val="001B2EEB"/>
    <w:rsid w:val="001B3045"/>
    <w:rsid w:val="001B3162"/>
    <w:rsid w:val="001B318D"/>
    <w:rsid w:val="001B3326"/>
    <w:rsid w:val="001B3674"/>
    <w:rsid w:val="001B38D3"/>
    <w:rsid w:val="001B3B45"/>
    <w:rsid w:val="001B49A5"/>
    <w:rsid w:val="001B4CC7"/>
    <w:rsid w:val="001B4D30"/>
    <w:rsid w:val="001B4EFF"/>
    <w:rsid w:val="001B5522"/>
    <w:rsid w:val="001B5539"/>
    <w:rsid w:val="001B55E4"/>
    <w:rsid w:val="001B56BA"/>
    <w:rsid w:val="001B5775"/>
    <w:rsid w:val="001B5AEF"/>
    <w:rsid w:val="001B5B23"/>
    <w:rsid w:val="001B5D08"/>
    <w:rsid w:val="001B5DB0"/>
    <w:rsid w:val="001B5EE1"/>
    <w:rsid w:val="001B62A6"/>
    <w:rsid w:val="001B6531"/>
    <w:rsid w:val="001B6966"/>
    <w:rsid w:val="001B6FCA"/>
    <w:rsid w:val="001B7485"/>
    <w:rsid w:val="001B7722"/>
    <w:rsid w:val="001B7D0E"/>
    <w:rsid w:val="001B7E88"/>
    <w:rsid w:val="001C0881"/>
    <w:rsid w:val="001C0DFB"/>
    <w:rsid w:val="001C11F4"/>
    <w:rsid w:val="001C1556"/>
    <w:rsid w:val="001C16F1"/>
    <w:rsid w:val="001C18BA"/>
    <w:rsid w:val="001C1AF2"/>
    <w:rsid w:val="001C1B55"/>
    <w:rsid w:val="001C1ECF"/>
    <w:rsid w:val="001C2050"/>
    <w:rsid w:val="001C2072"/>
    <w:rsid w:val="001C2097"/>
    <w:rsid w:val="001C20AD"/>
    <w:rsid w:val="001C2116"/>
    <w:rsid w:val="001C2333"/>
    <w:rsid w:val="001C2375"/>
    <w:rsid w:val="001C2450"/>
    <w:rsid w:val="001C2481"/>
    <w:rsid w:val="001C283A"/>
    <w:rsid w:val="001C2B13"/>
    <w:rsid w:val="001C2CFF"/>
    <w:rsid w:val="001C3090"/>
    <w:rsid w:val="001C3426"/>
    <w:rsid w:val="001C38EB"/>
    <w:rsid w:val="001C39C6"/>
    <w:rsid w:val="001C3D0E"/>
    <w:rsid w:val="001C3EEF"/>
    <w:rsid w:val="001C3F42"/>
    <w:rsid w:val="001C4006"/>
    <w:rsid w:val="001C43FE"/>
    <w:rsid w:val="001C489C"/>
    <w:rsid w:val="001C4E00"/>
    <w:rsid w:val="001C5286"/>
    <w:rsid w:val="001C53E5"/>
    <w:rsid w:val="001C5948"/>
    <w:rsid w:val="001C5B02"/>
    <w:rsid w:val="001C5DD8"/>
    <w:rsid w:val="001C5FAB"/>
    <w:rsid w:val="001C606E"/>
    <w:rsid w:val="001C60FC"/>
    <w:rsid w:val="001C610F"/>
    <w:rsid w:val="001C61AC"/>
    <w:rsid w:val="001C6EB8"/>
    <w:rsid w:val="001C7027"/>
    <w:rsid w:val="001C7701"/>
    <w:rsid w:val="001C7872"/>
    <w:rsid w:val="001C7B35"/>
    <w:rsid w:val="001C7DCB"/>
    <w:rsid w:val="001C7F46"/>
    <w:rsid w:val="001C7FB9"/>
    <w:rsid w:val="001D018C"/>
    <w:rsid w:val="001D02F0"/>
    <w:rsid w:val="001D0497"/>
    <w:rsid w:val="001D08FC"/>
    <w:rsid w:val="001D0E96"/>
    <w:rsid w:val="001D0EF8"/>
    <w:rsid w:val="001D1171"/>
    <w:rsid w:val="001D136D"/>
    <w:rsid w:val="001D1554"/>
    <w:rsid w:val="001D15F2"/>
    <w:rsid w:val="001D161A"/>
    <w:rsid w:val="001D17D9"/>
    <w:rsid w:val="001D1830"/>
    <w:rsid w:val="001D1B9E"/>
    <w:rsid w:val="001D1BAA"/>
    <w:rsid w:val="001D1E8D"/>
    <w:rsid w:val="001D1FEF"/>
    <w:rsid w:val="001D2014"/>
    <w:rsid w:val="001D2048"/>
    <w:rsid w:val="001D23DE"/>
    <w:rsid w:val="001D2DEB"/>
    <w:rsid w:val="001D3136"/>
    <w:rsid w:val="001D3305"/>
    <w:rsid w:val="001D330D"/>
    <w:rsid w:val="001D33B9"/>
    <w:rsid w:val="001D344F"/>
    <w:rsid w:val="001D355C"/>
    <w:rsid w:val="001D363A"/>
    <w:rsid w:val="001D384A"/>
    <w:rsid w:val="001D3953"/>
    <w:rsid w:val="001D3BED"/>
    <w:rsid w:val="001D3F95"/>
    <w:rsid w:val="001D4213"/>
    <w:rsid w:val="001D438B"/>
    <w:rsid w:val="001D48F7"/>
    <w:rsid w:val="001D4A3A"/>
    <w:rsid w:val="001D4A70"/>
    <w:rsid w:val="001D4C44"/>
    <w:rsid w:val="001D4D48"/>
    <w:rsid w:val="001D4DF6"/>
    <w:rsid w:val="001D4E70"/>
    <w:rsid w:val="001D4F95"/>
    <w:rsid w:val="001D540A"/>
    <w:rsid w:val="001D549D"/>
    <w:rsid w:val="001D5596"/>
    <w:rsid w:val="001D5819"/>
    <w:rsid w:val="001D5C48"/>
    <w:rsid w:val="001D61B5"/>
    <w:rsid w:val="001D61F9"/>
    <w:rsid w:val="001D62B3"/>
    <w:rsid w:val="001D62E6"/>
    <w:rsid w:val="001D7173"/>
    <w:rsid w:val="001D718A"/>
    <w:rsid w:val="001D78E8"/>
    <w:rsid w:val="001D7933"/>
    <w:rsid w:val="001D793C"/>
    <w:rsid w:val="001D7FF3"/>
    <w:rsid w:val="001E07C1"/>
    <w:rsid w:val="001E07DA"/>
    <w:rsid w:val="001E0864"/>
    <w:rsid w:val="001E0ADC"/>
    <w:rsid w:val="001E0DB1"/>
    <w:rsid w:val="001E0DE3"/>
    <w:rsid w:val="001E172B"/>
    <w:rsid w:val="001E17B8"/>
    <w:rsid w:val="001E1887"/>
    <w:rsid w:val="001E192B"/>
    <w:rsid w:val="001E1B81"/>
    <w:rsid w:val="001E2074"/>
    <w:rsid w:val="001E257C"/>
    <w:rsid w:val="001E2747"/>
    <w:rsid w:val="001E2908"/>
    <w:rsid w:val="001E2A63"/>
    <w:rsid w:val="001E2AB5"/>
    <w:rsid w:val="001E3003"/>
    <w:rsid w:val="001E312D"/>
    <w:rsid w:val="001E3193"/>
    <w:rsid w:val="001E32D8"/>
    <w:rsid w:val="001E34E2"/>
    <w:rsid w:val="001E369C"/>
    <w:rsid w:val="001E377B"/>
    <w:rsid w:val="001E3998"/>
    <w:rsid w:val="001E3CB7"/>
    <w:rsid w:val="001E3E4E"/>
    <w:rsid w:val="001E3E5C"/>
    <w:rsid w:val="001E4C80"/>
    <w:rsid w:val="001E5037"/>
    <w:rsid w:val="001E5058"/>
    <w:rsid w:val="001E505B"/>
    <w:rsid w:val="001E53B2"/>
    <w:rsid w:val="001E5481"/>
    <w:rsid w:val="001E56E2"/>
    <w:rsid w:val="001E684B"/>
    <w:rsid w:val="001E68C4"/>
    <w:rsid w:val="001E6BBE"/>
    <w:rsid w:val="001E6D84"/>
    <w:rsid w:val="001E6DB8"/>
    <w:rsid w:val="001E6EC8"/>
    <w:rsid w:val="001E70A5"/>
    <w:rsid w:val="001E7278"/>
    <w:rsid w:val="001E75EA"/>
    <w:rsid w:val="001E764B"/>
    <w:rsid w:val="001E77A7"/>
    <w:rsid w:val="001E77E0"/>
    <w:rsid w:val="001E7836"/>
    <w:rsid w:val="001E78B9"/>
    <w:rsid w:val="001E7902"/>
    <w:rsid w:val="001E7AA6"/>
    <w:rsid w:val="001E7B25"/>
    <w:rsid w:val="001E7D39"/>
    <w:rsid w:val="001E7E9B"/>
    <w:rsid w:val="001F019A"/>
    <w:rsid w:val="001F03E2"/>
    <w:rsid w:val="001F087F"/>
    <w:rsid w:val="001F0CCA"/>
    <w:rsid w:val="001F0F44"/>
    <w:rsid w:val="001F12FD"/>
    <w:rsid w:val="001F1345"/>
    <w:rsid w:val="001F15B7"/>
    <w:rsid w:val="001F1771"/>
    <w:rsid w:val="001F1A17"/>
    <w:rsid w:val="001F1C2E"/>
    <w:rsid w:val="001F1E4F"/>
    <w:rsid w:val="001F225A"/>
    <w:rsid w:val="001F2344"/>
    <w:rsid w:val="001F2C98"/>
    <w:rsid w:val="001F2F50"/>
    <w:rsid w:val="001F30D4"/>
    <w:rsid w:val="001F3362"/>
    <w:rsid w:val="001F34FA"/>
    <w:rsid w:val="001F3BF4"/>
    <w:rsid w:val="001F3D16"/>
    <w:rsid w:val="001F3DDC"/>
    <w:rsid w:val="001F3E4F"/>
    <w:rsid w:val="001F4A01"/>
    <w:rsid w:val="001F4B1E"/>
    <w:rsid w:val="001F4D24"/>
    <w:rsid w:val="001F4D7B"/>
    <w:rsid w:val="001F4F17"/>
    <w:rsid w:val="001F56B1"/>
    <w:rsid w:val="001F5AAA"/>
    <w:rsid w:val="001F5BBA"/>
    <w:rsid w:val="001F5C70"/>
    <w:rsid w:val="001F5CF4"/>
    <w:rsid w:val="001F5EC2"/>
    <w:rsid w:val="001F6080"/>
    <w:rsid w:val="001F6278"/>
    <w:rsid w:val="001F6477"/>
    <w:rsid w:val="001F66F7"/>
    <w:rsid w:val="001F674C"/>
    <w:rsid w:val="001F6945"/>
    <w:rsid w:val="001F6F4A"/>
    <w:rsid w:val="001F769A"/>
    <w:rsid w:val="001F78DB"/>
    <w:rsid w:val="001F7D9E"/>
    <w:rsid w:val="001F7FCA"/>
    <w:rsid w:val="0020002A"/>
    <w:rsid w:val="0020075B"/>
    <w:rsid w:val="0020082B"/>
    <w:rsid w:val="00200838"/>
    <w:rsid w:val="0020091F"/>
    <w:rsid w:val="00200E05"/>
    <w:rsid w:val="00201443"/>
    <w:rsid w:val="0020158F"/>
    <w:rsid w:val="0020161A"/>
    <w:rsid w:val="00201741"/>
    <w:rsid w:val="00201855"/>
    <w:rsid w:val="002018EA"/>
    <w:rsid w:val="00201940"/>
    <w:rsid w:val="002019E8"/>
    <w:rsid w:val="00201B63"/>
    <w:rsid w:val="00201E0C"/>
    <w:rsid w:val="00201E72"/>
    <w:rsid w:val="00202265"/>
    <w:rsid w:val="00202285"/>
    <w:rsid w:val="00202352"/>
    <w:rsid w:val="00202372"/>
    <w:rsid w:val="002023AE"/>
    <w:rsid w:val="0020254B"/>
    <w:rsid w:val="00202704"/>
    <w:rsid w:val="00202758"/>
    <w:rsid w:val="002027E0"/>
    <w:rsid w:val="00202B46"/>
    <w:rsid w:val="00202F18"/>
    <w:rsid w:val="00203221"/>
    <w:rsid w:val="00203C9C"/>
    <w:rsid w:val="002043B3"/>
    <w:rsid w:val="00204484"/>
    <w:rsid w:val="002048C4"/>
    <w:rsid w:val="00204B85"/>
    <w:rsid w:val="00204D8E"/>
    <w:rsid w:val="0020510D"/>
    <w:rsid w:val="00205231"/>
    <w:rsid w:val="0020563D"/>
    <w:rsid w:val="00205822"/>
    <w:rsid w:val="00205951"/>
    <w:rsid w:val="00205B01"/>
    <w:rsid w:val="002060E0"/>
    <w:rsid w:val="00206166"/>
    <w:rsid w:val="002061E0"/>
    <w:rsid w:val="00206A7C"/>
    <w:rsid w:val="00206BA3"/>
    <w:rsid w:val="0020742A"/>
    <w:rsid w:val="00207BB8"/>
    <w:rsid w:val="00207D6B"/>
    <w:rsid w:val="00210430"/>
    <w:rsid w:val="0021045C"/>
    <w:rsid w:val="00210CB4"/>
    <w:rsid w:val="0021101C"/>
    <w:rsid w:val="002112E7"/>
    <w:rsid w:val="00211F03"/>
    <w:rsid w:val="0021234D"/>
    <w:rsid w:val="00212537"/>
    <w:rsid w:val="002125F7"/>
    <w:rsid w:val="002127B8"/>
    <w:rsid w:val="00213311"/>
    <w:rsid w:val="00213452"/>
    <w:rsid w:val="002134FF"/>
    <w:rsid w:val="00213651"/>
    <w:rsid w:val="002140FB"/>
    <w:rsid w:val="0021427D"/>
    <w:rsid w:val="002146FB"/>
    <w:rsid w:val="002147B4"/>
    <w:rsid w:val="00214929"/>
    <w:rsid w:val="00214960"/>
    <w:rsid w:val="002149D1"/>
    <w:rsid w:val="00214BBE"/>
    <w:rsid w:val="00214DD3"/>
    <w:rsid w:val="00214F56"/>
    <w:rsid w:val="0021517B"/>
    <w:rsid w:val="002151D6"/>
    <w:rsid w:val="002153A6"/>
    <w:rsid w:val="00215681"/>
    <w:rsid w:val="002158E5"/>
    <w:rsid w:val="0021595F"/>
    <w:rsid w:val="00215A26"/>
    <w:rsid w:val="00215F0C"/>
    <w:rsid w:val="0021618C"/>
    <w:rsid w:val="002167FC"/>
    <w:rsid w:val="00216A47"/>
    <w:rsid w:val="00216C4A"/>
    <w:rsid w:val="00216E2F"/>
    <w:rsid w:val="002173D2"/>
    <w:rsid w:val="00217493"/>
    <w:rsid w:val="002175F6"/>
    <w:rsid w:val="00217872"/>
    <w:rsid w:val="0021793C"/>
    <w:rsid w:val="00217B05"/>
    <w:rsid w:val="00217B29"/>
    <w:rsid w:val="00217B6C"/>
    <w:rsid w:val="00217B8F"/>
    <w:rsid w:val="00217BF5"/>
    <w:rsid w:val="00217DCF"/>
    <w:rsid w:val="00217DDB"/>
    <w:rsid w:val="00217FDD"/>
    <w:rsid w:val="002200E2"/>
    <w:rsid w:val="0022018E"/>
    <w:rsid w:val="002201B8"/>
    <w:rsid w:val="00220955"/>
    <w:rsid w:val="00220968"/>
    <w:rsid w:val="00220AE2"/>
    <w:rsid w:val="00220EC6"/>
    <w:rsid w:val="002210D2"/>
    <w:rsid w:val="00221556"/>
    <w:rsid w:val="00221793"/>
    <w:rsid w:val="00221805"/>
    <w:rsid w:val="00221EEA"/>
    <w:rsid w:val="00222248"/>
    <w:rsid w:val="0022226E"/>
    <w:rsid w:val="00222278"/>
    <w:rsid w:val="00222469"/>
    <w:rsid w:val="00222529"/>
    <w:rsid w:val="002228C5"/>
    <w:rsid w:val="00222C3C"/>
    <w:rsid w:val="00222D18"/>
    <w:rsid w:val="00222FCF"/>
    <w:rsid w:val="002230AC"/>
    <w:rsid w:val="002233ED"/>
    <w:rsid w:val="00223492"/>
    <w:rsid w:val="0022369B"/>
    <w:rsid w:val="00223FFC"/>
    <w:rsid w:val="00224099"/>
    <w:rsid w:val="002240FA"/>
    <w:rsid w:val="00224398"/>
    <w:rsid w:val="00224938"/>
    <w:rsid w:val="00224A00"/>
    <w:rsid w:val="00224BE5"/>
    <w:rsid w:val="00225325"/>
    <w:rsid w:val="00225849"/>
    <w:rsid w:val="0022595F"/>
    <w:rsid w:val="00225EB1"/>
    <w:rsid w:val="00225F88"/>
    <w:rsid w:val="00226044"/>
    <w:rsid w:val="00226232"/>
    <w:rsid w:val="002267B9"/>
    <w:rsid w:val="00226973"/>
    <w:rsid w:val="00226C3F"/>
    <w:rsid w:val="00226CE4"/>
    <w:rsid w:val="00226E3D"/>
    <w:rsid w:val="00226FD9"/>
    <w:rsid w:val="00227263"/>
    <w:rsid w:val="002272C2"/>
    <w:rsid w:val="00227770"/>
    <w:rsid w:val="00227B34"/>
    <w:rsid w:val="00227CFB"/>
    <w:rsid w:val="00227DFA"/>
    <w:rsid w:val="00227F33"/>
    <w:rsid w:val="002302EB"/>
    <w:rsid w:val="00230483"/>
    <w:rsid w:val="0023055D"/>
    <w:rsid w:val="00230724"/>
    <w:rsid w:val="0023099D"/>
    <w:rsid w:val="00230A6B"/>
    <w:rsid w:val="00230B4B"/>
    <w:rsid w:val="00230BE7"/>
    <w:rsid w:val="00230E53"/>
    <w:rsid w:val="00230F42"/>
    <w:rsid w:val="00230F9D"/>
    <w:rsid w:val="00231365"/>
    <w:rsid w:val="00231723"/>
    <w:rsid w:val="002317CC"/>
    <w:rsid w:val="002318E3"/>
    <w:rsid w:val="00231AD2"/>
    <w:rsid w:val="00231C3A"/>
    <w:rsid w:val="00231C42"/>
    <w:rsid w:val="00231CC9"/>
    <w:rsid w:val="00231EEF"/>
    <w:rsid w:val="00231F4A"/>
    <w:rsid w:val="002326C1"/>
    <w:rsid w:val="00232740"/>
    <w:rsid w:val="0023282E"/>
    <w:rsid w:val="00233030"/>
    <w:rsid w:val="002335E8"/>
    <w:rsid w:val="002336BE"/>
    <w:rsid w:val="00233929"/>
    <w:rsid w:val="00233C96"/>
    <w:rsid w:val="00233E5B"/>
    <w:rsid w:val="00233E6E"/>
    <w:rsid w:val="00234059"/>
    <w:rsid w:val="00234117"/>
    <w:rsid w:val="00234319"/>
    <w:rsid w:val="00234335"/>
    <w:rsid w:val="00234348"/>
    <w:rsid w:val="002343F9"/>
    <w:rsid w:val="00234431"/>
    <w:rsid w:val="0023468A"/>
    <w:rsid w:val="002348FC"/>
    <w:rsid w:val="00234B4A"/>
    <w:rsid w:val="00234C67"/>
    <w:rsid w:val="00235262"/>
    <w:rsid w:val="0023532C"/>
    <w:rsid w:val="00235372"/>
    <w:rsid w:val="0023549B"/>
    <w:rsid w:val="00235728"/>
    <w:rsid w:val="002357A4"/>
    <w:rsid w:val="00235A56"/>
    <w:rsid w:val="00235C85"/>
    <w:rsid w:val="00236561"/>
    <w:rsid w:val="00236874"/>
    <w:rsid w:val="002368AB"/>
    <w:rsid w:val="00236CDE"/>
    <w:rsid w:val="00236ED7"/>
    <w:rsid w:val="00237299"/>
    <w:rsid w:val="002372B5"/>
    <w:rsid w:val="002375D5"/>
    <w:rsid w:val="00237624"/>
    <w:rsid w:val="002400F8"/>
    <w:rsid w:val="0024020A"/>
    <w:rsid w:val="00240304"/>
    <w:rsid w:val="00240715"/>
    <w:rsid w:val="002409F2"/>
    <w:rsid w:val="00240A4E"/>
    <w:rsid w:val="00240DC0"/>
    <w:rsid w:val="00240F63"/>
    <w:rsid w:val="002414AC"/>
    <w:rsid w:val="0024166A"/>
    <w:rsid w:val="002418AA"/>
    <w:rsid w:val="002419EA"/>
    <w:rsid w:val="00241A86"/>
    <w:rsid w:val="00241CD0"/>
    <w:rsid w:val="00241D56"/>
    <w:rsid w:val="00242143"/>
    <w:rsid w:val="0024227E"/>
    <w:rsid w:val="002422F1"/>
    <w:rsid w:val="00242606"/>
    <w:rsid w:val="0024274A"/>
    <w:rsid w:val="002427F3"/>
    <w:rsid w:val="00243265"/>
    <w:rsid w:val="0024359D"/>
    <w:rsid w:val="0024377A"/>
    <w:rsid w:val="002437FD"/>
    <w:rsid w:val="002438F8"/>
    <w:rsid w:val="00243909"/>
    <w:rsid w:val="00243B60"/>
    <w:rsid w:val="0024407B"/>
    <w:rsid w:val="00244406"/>
    <w:rsid w:val="002446AB"/>
    <w:rsid w:val="002447F9"/>
    <w:rsid w:val="00244868"/>
    <w:rsid w:val="002448F6"/>
    <w:rsid w:val="00244951"/>
    <w:rsid w:val="0024499E"/>
    <w:rsid w:val="00244A13"/>
    <w:rsid w:val="00244E08"/>
    <w:rsid w:val="00244F80"/>
    <w:rsid w:val="00245377"/>
    <w:rsid w:val="00245622"/>
    <w:rsid w:val="00245A14"/>
    <w:rsid w:val="00245BCD"/>
    <w:rsid w:val="00245D99"/>
    <w:rsid w:val="00245EA5"/>
    <w:rsid w:val="00245FEC"/>
    <w:rsid w:val="002460B5"/>
    <w:rsid w:val="0024612E"/>
    <w:rsid w:val="00246182"/>
    <w:rsid w:val="002461F2"/>
    <w:rsid w:val="00246632"/>
    <w:rsid w:val="002467EB"/>
    <w:rsid w:val="00246ADD"/>
    <w:rsid w:val="00246B5E"/>
    <w:rsid w:val="00246DD6"/>
    <w:rsid w:val="002470A5"/>
    <w:rsid w:val="002470CB"/>
    <w:rsid w:val="00247548"/>
    <w:rsid w:val="00247662"/>
    <w:rsid w:val="00247897"/>
    <w:rsid w:val="00247A94"/>
    <w:rsid w:val="00247AB7"/>
    <w:rsid w:val="00247B7A"/>
    <w:rsid w:val="00247BEA"/>
    <w:rsid w:val="00247F95"/>
    <w:rsid w:val="0025065F"/>
    <w:rsid w:val="002508C3"/>
    <w:rsid w:val="00250B9A"/>
    <w:rsid w:val="00250C44"/>
    <w:rsid w:val="002516E8"/>
    <w:rsid w:val="002516E9"/>
    <w:rsid w:val="0025172E"/>
    <w:rsid w:val="00251781"/>
    <w:rsid w:val="00251787"/>
    <w:rsid w:val="002518FB"/>
    <w:rsid w:val="00251C17"/>
    <w:rsid w:val="00251D6C"/>
    <w:rsid w:val="00251DAE"/>
    <w:rsid w:val="0025210D"/>
    <w:rsid w:val="00252261"/>
    <w:rsid w:val="00252480"/>
    <w:rsid w:val="00252582"/>
    <w:rsid w:val="00252B33"/>
    <w:rsid w:val="00252C6F"/>
    <w:rsid w:val="00252D09"/>
    <w:rsid w:val="00252D42"/>
    <w:rsid w:val="00252E37"/>
    <w:rsid w:val="00252FB8"/>
    <w:rsid w:val="0025321E"/>
    <w:rsid w:val="002533D2"/>
    <w:rsid w:val="00253C57"/>
    <w:rsid w:val="00253F62"/>
    <w:rsid w:val="0025442A"/>
    <w:rsid w:val="0025451C"/>
    <w:rsid w:val="002546D3"/>
    <w:rsid w:val="0025470A"/>
    <w:rsid w:val="00254B49"/>
    <w:rsid w:val="00254C1D"/>
    <w:rsid w:val="00255210"/>
    <w:rsid w:val="00255295"/>
    <w:rsid w:val="002552C6"/>
    <w:rsid w:val="00255347"/>
    <w:rsid w:val="002554C5"/>
    <w:rsid w:val="0025569B"/>
    <w:rsid w:val="002556B7"/>
    <w:rsid w:val="002557A0"/>
    <w:rsid w:val="00255845"/>
    <w:rsid w:val="00255D3E"/>
    <w:rsid w:val="00255DA0"/>
    <w:rsid w:val="0025609F"/>
    <w:rsid w:val="0025620C"/>
    <w:rsid w:val="002566B5"/>
    <w:rsid w:val="00256721"/>
    <w:rsid w:val="00256E3B"/>
    <w:rsid w:val="00256F52"/>
    <w:rsid w:val="00257280"/>
    <w:rsid w:val="00257396"/>
    <w:rsid w:val="00257402"/>
    <w:rsid w:val="0025797E"/>
    <w:rsid w:val="00257B01"/>
    <w:rsid w:val="00257E5C"/>
    <w:rsid w:val="00257E65"/>
    <w:rsid w:val="0026035C"/>
    <w:rsid w:val="002603ED"/>
    <w:rsid w:val="002604F9"/>
    <w:rsid w:val="0026052D"/>
    <w:rsid w:val="002605AD"/>
    <w:rsid w:val="00260885"/>
    <w:rsid w:val="00260AC0"/>
    <w:rsid w:val="00260E86"/>
    <w:rsid w:val="00260F36"/>
    <w:rsid w:val="00260F3E"/>
    <w:rsid w:val="00260F9F"/>
    <w:rsid w:val="002612EE"/>
    <w:rsid w:val="00261409"/>
    <w:rsid w:val="0026171A"/>
    <w:rsid w:val="00261B1F"/>
    <w:rsid w:val="00261D1D"/>
    <w:rsid w:val="00261EB6"/>
    <w:rsid w:val="00261EFB"/>
    <w:rsid w:val="002623CB"/>
    <w:rsid w:val="002624C1"/>
    <w:rsid w:val="00262A21"/>
    <w:rsid w:val="00262A2E"/>
    <w:rsid w:val="00262C15"/>
    <w:rsid w:val="00262CF1"/>
    <w:rsid w:val="00262D0D"/>
    <w:rsid w:val="002631AB"/>
    <w:rsid w:val="002631B1"/>
    <w:rsid w:val="00263441"/>
    <w:rsid w:val="0026349D"/>
    <w:rsid w:val="00263595"/>
    <w:rsid w:val="0026410F"/>
    <w:rsid w:val="0026431E"/>
    <w:rsid w:val="00264378"/>
    <w:rsid w:val="002644C8"/>
    <w:rsid w:val="0026453B"/>
    <w:rsid w:val="00264685"/>
    <w:rsid w:val="0026469D"/>
    <w:rsid w:val="00264AA5"/>
    <w:rsid w:val="00264E50"/>
    <w:rsid w:val="00264FF0"/>
    <w:rsid w:val="0026530A"/>
    <w:rsid w:val="00265949"/>
    <w:rsid w:val="00265D3C"/>
    <w:rsid w:val="00265D76"/>
    <w:rsid w:val="002662C5"/>
    <w:rsid w:val="0026652C"/>
    <w:rsid w:val="00266582"/>
    <w:rsid w:val="00266651"/>
    <w:rsid w:val="00266EBF"/>
    <w:rsid w:val="0026711D"/>
    <w:rsid w:val="0026717B"/>
    <w:rsid w:val="00267983"/>
    <w:rsid w:val="0027029A"/>
    <w:rsid w:val="002703BB"/>
    <w:rsid w:val="002707EB"/>
    <w:rsid w:val="0027090B"/>
    <w:rsid w:val="00270D08"/>
    <w:rsid w:val="00271864"/>
    <w:rsid w:val="0027189A"/>
    <w:rsid w:val="002718A2"/>
    <w:rsid w:val="00271A16"/>
    <w:rsid w:val="00271BE7"/>
    <w:rsid w:val="00271BFB"/>
    <w:rsid w:val="00271DFA"/>
    <w:rsid w:val="00272396"/>
    <w:rsid w:val="002723E5"/>
    <w:rsid w:val="00272A18"/>
    <w:rsid w:val="00272D46"/>
    <w:rsid w:val="00272E1B"/>
    <w:rsid w:val="0027308A"/>
    <w:rsid w:val="00273489"/>
    <w:rsid w:val="00273596"/>
    <w:rsid w:val="00273A2C"/>
    <w:rsid w:val="002745CE"/>
    <w:rsid w:val="002745E7"/>
    <w:rsid w:val="00274815"/>
    <w:rsid w:val="0027486C"/>
    <w:rsid w:val="002748AC"/>
    <w:rsid w:val="00274ADD"/>
    <w:rsid w:val="00274BAF"/>
    <w:rsid w:val="00274F15"/>
    <w:rsid w:val="002751A2"/>
    <w:rsid w:val="002753C8"/>
    <w:rsid w:val="002753F5"/>
    <w:rsid w:val="00275AB2"/>
    <w:rsid w:val="00275B61"/>
    <w:rsid w:val="00275E27"/>
    <w:rsid w:val="00275E37"/>
    <w:rsid w:val="0027609F"/>
    <w:rsid w:val="0027618C"/>
    <w:rsid w:val="00276204"/>
    <w:rsid w:val="002762BA"/>
    <w:rsid w:val="002768FE"/>
    <w:rsid w:val="00276B2E"/>
    <w:rsid w:val="00276C87"/>
    <w:rsid w:val="00276DAF"/>
    <w:rsid w:val="00276ECB"/>
    <w:rsid w:val="0027706D"/>
    <w:rsid w:val="00277194"/>
    <w:rsid w:val="00277260"/>
    <w:rsid w:val="002772D1"/>
    <w:rsid w:val="002773D5"/>
    <w:rsid w:val="00277718"/>
    <w:rsid w:val="00277782"/>
    <w:rsid w:val="002778D6"/>
    <w:rsid w:val="002779C8"/>
    <w:rsid w:val="00277A3E"/>
    <w:rsid w:val="00277DAE"/>
    <w:rsid w:val="00277DB0"/>
    <w:rsid w:val="002801F2"/>
    <w:rsid w:val="0028030F"/>
    <w:rsid w:val="00280337"/>
    <w:rsid w:val="00280782"/>
    <w:rsid w:val="0028098D"/>
    <w:rsid w:val="002809C1"/>
    <w:rsid w:val="00280BE9"/>
    <w:rsid w:val="00280D6B"/>
    <w:rsid w:val="00280FC7"/>
    <w:rsid w:val="002810A5"/>
    <w:rsid w:val="0028128A"/>
    <w:rsid w:val="0028132A"/>
    <w:rsid w:val="00281757"/>
    <w:rsid w:val="00281B82"/>
    <w:rsid w:val="00281CC4"/>
    <w:rsid w:val="0028212B"/>
    <w:rsid w:val="0028218E"/>
    <w:rsid w:val="00282724"/>
    <w:rsid w:val="00282E04"/>
    <w:rsid w:val="002830CE"/>
    <w:rsid w:val="00283701"/>
    <w:rsid w:val="00283A9D"/>
    <w:rsid w:val="00283B09"/>
    <w:rsid w:val="00283C4C"/>
    <w:rsid w:val="00283F0A"/>
    <w:rsid w:val="002840FF"/>
    <w:rsid w:val="00284593"/>
    <w:rsid w:val="002845F6"/>
    <w:rsid w:val="00284A9B"/>
    <w:rsid w:val="00284D85"/>
    <w:rsid w:val="00284DAE"/>
    <w:rsid w:val="002855C5"/>
    <w:rsid w:val="002858B3"/>
    <w:rsid w:val="002858F8"/>
    <w:rsid w:val="00285CC0"/>
    <w:rsid w:val="00285D97"/>
    <w:rsid w:val="00285DFF"/>
    <w:rsid w:val="00285F65"/>
    <w:rsid w:val="0028671B"/>
    <w:rsid w:val="00286D6F"/>
    <w:rsid w:val="00286D79"/>
    <w:rsid w:val="00287000"/>
    <w:rsid w:val="002871BB"/>
    <w:rsid w:val="00287358"/>
    <w:rsid w:val="002874CA"/>
    <w:rsid w:val="0028753C"/>
    <w:rsid w:val="00290199"/>
    <w:rsid w:val="002909BA"/>
    <w:rsid w:val="00290AFD"/>
    <w:rsid w:val="00290B36"/>
    <w:rsid w:val="00290E4E"/>
    <w:rsid w:val="00290F5E"/>
    <w:rsid w:val="00290F95"/>
    <w:rsid w:val="002910BE"/>
    <w:rsid w:val="0029139C"/>
    <w:rsid w:val="002917AF"/>
    <w:rsid w:val="0029194A"/>
    <w:rsid w:val="00291957"/>
    <w:rsid w:val="002919EF"/>
    <w:rsid w:val="00291B87"/>
    <w:rsid w:val="00291BC2"/>
    <w:rsid w:val="00291E59"/>
    <w:rsid w:val="0029204D"/>
    <w:rsid w:val="00292509"/>
    <w:rsid w:val="0029253F"/>
    <w:rsid w:val="002925A1"/>
    <w:rsid w:val="00292630"/>
    <w:rsid w:val="002928AA"/>
    <w:rsid w:val="002928F4"/>
    <w:rsid w:val="00292BC5"/>
    <w:rsid w:val="00292C9A"/>
    <w:rsid w:val="00292D34"/>
    <w:rsid w:val="00293030"/>
    <w:rsid w:val="002930AD"/>
    <w:rsid w:val="002932A0"/>
    <w:rsid w:val="002934D3"/>
    <w:rsid w:val="00293546"/>
    <w:rsid w:val="00293644"/>
    <w:rsid w:val="002936E4"/>
    <w:rsid w:val="00293701"/>
    <w:rsid w:val="002937A7"/>
    <w:rsid w:val="0029392B"/>
    <w:rsid w:val="00293B48"/>
    <w:rsid w:val="00293CA2"/>
    <w:rsid w:val="0029445A"/>
    <w:rsid w:val="002945EE"/>
    <w:rsid w:val="00294C1E"/>
    <w:rsid w:val="00294C5E"/>
    <w:rsid w:val="00294E37"/>
    <w:rsid w:val="00294E55"/>
    <w:rsid w:val="00294FEF"/>
    <w:rsid w:val="002951F2"/>
    <w:rsid w:val="0029541E"/>
    <w:rsid w:val="002954A8"/>
    <w:rsid w:val="00295A07"/>
    <w:rsid w:val="00295AF6"/>
    <w:rsid w:val="00295B11"/>
    <w:rsid w:val="00295C99"/>
    <w:rsid w:val="00296021"/>
    <w:rsid w:val="002962A2"/>
    <w:rsid w:val="0029643F"/>
    <w:rsid w:val="00296665"/>
    <w:rsid w:val="00296B1C"/>
    <w:rsid w:val="00296DB8"/>
    <w:rsid w:val="0029710B"/>
    <w:rsid w:val="002971B6"/>
    <w:rsid w:val="00297462"/>
    <w:rsid w:val="00297A03"/>
    <w:rsid w:val="00297FE4"/>
    <w:rsid w:val="002A002D"/>
    <w:rsid w:val="002A0358"/>
    <w:rsid w:val="002A070E"/>
    <w:rsid w:val="002A0897"/>
    <w:rsid w:val="002A0A46"/>
    <w:rsid w:val="002A0A4E"/>
    <w:rsid w:val="002A0C5F"/>
    <w:rsid w:val="002A0C87"/>
    <w:rsid w:val="002A0D98"/>
    <w:rsid w:val="002A0E68"/>
    <w:rsid w:val="002A11C0"/>
    <w:rsid w:val="002A1B84"/>
    <w:rsid w:val="002A1B9F"/>
    <w:rsid w:val="002A1FD2"/>
    <w:rsid w:val="002A2154"/>
    <w:rsid w:val="002A21AB"/>
    <w:rsid w:val="002A2279"/>
    <w:rsid w:val="002A2793"/>
    <w:rsid w:val="002A2A83"/>
    <w:rsid w:val="002A322D"/>
    <w:rsid w:val="002A34DF"/>
    <w:rsid w:val="002A35A1"/>
    <w:rsid w:val="002A36F5"/>
    <w:rsid w:val="002A371A"/>
    <w:rsid w:val="002A3851"/>
    <w:rsid w:val="002A3906"/>
    <w:rsid w:val="002A3AEC"/>
    <w:rsid w:val="002A3AF5"/>
    <w:rsid w:val="002A3D26"/>
    <w:rsid w:val="002A460F"/>
    <w:rsid w:val="002A4BFE"/>
    <w:rsid w:val="002A4D48"/>
    <w:rsid w:val="002A5185"/>
    <w:rsid w:val="002A51F8"/>
    <w:rsid w:val="002A5655"/>
    <w:rsid w:val="002A577F"/>
    <w:rsid w:val="002A5B2E"/>
    <w:rsid w:val="002A5C72"/>
    <w:rsid w:val="002A5ECE"/>
    <w:rsid w:val="002A6223"/>
    <w:rsid w:val="002A62D4"/>
    <w:rsid w:val="002A6417"/>
    <w:rsid w:val="002A6A2C"/>
    <w:rsid w:val="002A6A81"/>
    <w:rsid w:val="002A6E3A"/>
    <w:rsid w:val="002A6F30"/>
    <w:rsid w:val="002A71AE"/>
    <w:rsid w:val="002A71AF"/>
    <w:rsid w:val="002A737F"/>
    <w:rsid w:val="002A747D"/>
    <w:rsid w:val="002A7717"/>
    <w:rsid w:val="002A7784"/>
    <w:rsid w:val="002A77DB"/>
    <w:rsid w:val="002A7A50"/>
    <w:rsid w:val="002A7BC2"/>
    <w:rsid w:val="002A7C17"/>
    <w:rsid w:val="002A7C76"/>
    <w:rsid w:val="002A7DD5"/>
    <w:rsid w:val="002B02CC"/>
    <w:rsid w:val="002B07C3"/>
    <w:rsid w:val="002B0857"/>
    <w:rsid w:val="002B0D6F"/>
    <w:rsid w:val="002B0E08"/>
    <w:rsid w:val="002B0E0E"/>
    <w:rsid w:val="002B136B"/>
    <w:rsid w:val="002B15DA"/>
    <w:rsid w:val="002B1733"/>
    <w:rsid w:val="002B17E0"/>
    <w:rsid w:val="002B17FF"/>
    <w:rsid w:val="002B1AB3"/>
    <w:rsid w:val="002B1C30"/>
    <w:rsid w:val="002B1D75"/>
    <w:rsid w:val="002B1FF0"/>
    <w:rsid w:val="002B2511"/>
    <w:rsid w:val="002B2568"/>
    <w:rsid w:val="002B2711"/>
    <w:rsid w:val="002B2EFE"/>
    <w:rsid w:val="002B3728"/>
    <w:rsid w:val="002B38CD"/>
    <w:rsid w:val="002B3CA8"/>
    <w:rsid w:val="002B3E01"/>
    <w:rsid w:val="002B3E6B"/>
    <w:rsid w:val="002B41EC"/>
    <w:rsid w:val="002B447F"/>
    <w:rsid w:val="002B454B"/>
    <w:rsid w:val="002B46DE"/>
    <w:rsid w:val="002B47F1"/>
    <w:rsid w:val="002B48A1"/>
    <w:rsid w:val="002B4C71"/>
    <w:rsid w:val="002B4CB6"/>
    <w:rsid w:val="002B4D1F"/>
    <w:rsid w:val="002B4D4B"/>
    <w:rsid w:val="002B50F6"/>
    <w:rsid w:val="002B5290"/>
    <w:rsid w:val="002B534C"/>
    <w:rsid w:val="002B5690"/>
    <w:rsid w:val="002B57EC"/>
    <w:rsid w:val="002B5F81"/>
    <w:rsid w:val="002B63A8"/>
    <w:rsid w:val="002B6584"/>
    <w:rsid w:val="002B65FB"/>
    <w:rsid w:val="002B69D0"/>
    <w:rsid w:val="002B69D7"/>
    <w:rsid w:val="002B6A63"/>
    <w:rsid w:val="002B6AC3"/>
    <w:rsid w:val="002B6C1B"/>
    <w:rsid w:val="002B6C58"/>
    <w:rsid w:val="002B6EC7"/>
    <w:rsid w:val="002B725F"/>
    <w:rsid w:val="002B779C"/>
    <w:rsid w:val="002B7F92"/>
    <w:rsid w:val="002C002C"/>
    <w:rsid w:val="002C0113"/>
    <w:rsid w:val="002C0283"/>
    <w:rsid w:val="002C02EB"/>
    <w:rsid w:val="002C0847"/>
    <w:rsid w:val="002C08CC"/>
    <w:rsid w:val="002C0A0B"/>
    <w:rsid w:val="002C0A90"/>
    <w:rsid w:val="002C0B10"/>
    <w:rsid w:val="002C0C4E"/>
    <w:rsid w:val="002C0D07"/>
    <w:rsid w:val="002C0D31"/>
    <w:rsid w:val="002C0E7F"/>
    <w:rsid w:val="002C0FA5"/>
    <w:rsid w:val="002C1540"/>
    <w:rsid w:val="002C15AF"/>
    <w:rsid w:val="002C1A14"/>
    <w:rsid w:val="002C1D2C"/>
    <w:rsid w:val="002C1D6F"/>
    <w:rsid w:val="002C1D74"/>
    <w:rsid w:val="002C1FB5"/>
    <w:rsid w:val="002C22BB"/>
    <w:rsid w:val="002C2731"/>
    <w:rsid w:val="002C285E"/>
    <w:rsid w:val="002C287B"/>
    <w:rsid w:val="002C38B3"/>
    <w:rsid w:val="002C3DFB"/>
    <w:rsid w:val="002C3EA8"/>
    <w:rsid w:val="002C411C"/>
    <w:rsid w:val="002C447E"/>
    <w:rsid w:val="002C463C"/>
    <w:rsid w:val="002C4834"/>
    <w:rsid w:val="002C4871"/>
    <w:rsid w:val="002C48B2"/>
    <w:rsid w:val="002C4A16"/>
    <w:rsid w:val="002C4DE2"/>
    <w:rsid w:val="002C4E82"/>
    <w:rsid w:val="002C4EF7"/>
    <w:rsid w:val="002C51A8"/>
    <w:rsid w:val="002C5652"/>
    <w:rsid w:val="002C5B81"/>
    <w:rsid w:val="002C608C"/>
    <w:rsid w:val="002C63F7"/>
    <w:rsid w:val="002C6752"/>
    <w:rsid w:val="002C69D3"/>
    <w:rsid w:val="002C6B58"/>
    <w:rsid w:val="002C6D4C"/>
    <w:rsid w:val="002C6FE8"/>
    <w:rsid w:val="002C7062"/>
    <w:rsid w:val="002C7764"/>
    <w:rsid w:val="002C7908"/>
    <w:rsid w:val="002C7AB6"/>
    <w:rsid w:val="002C7AD2"/>
    <w:rsid w:val="002D000F"/>
    <w:rsid w:val="002D0065"/>
    <w:rsid w:val="002D0681"/>
    <w:rsid w:val="002D076C"/>
    <w:rsid w:val="002D097B"/>
    <w:rsid w:val="002D0A68"/>
    <w:rsid w:val="002D0C56"/>
    <w:rsid w:val="002D0C5C"/>
    <w:rsid w:val="002D0F26"/>
    <w:rsid w:val="002D0FDC"/>
    <w:rsid w:val="002D15BA"/>
    <w:rsid w:val="002D16DF"/>
    <w:rsid w:val="002D17E0"/>
    <w:rsid w:val="002D18B2"/>
    <w:rsid w:val="002D1934"/>
    <w:rsid w:val="002D1C8D"/>
    <w:rsid w:val="002D1FC8"/>
    <w:rsid w:val="002D2592"/>
    <w:rsid w:val="002D2CE4"/>
    <w:rsid w:val="002D3057"/>
    <w:rsid w:val="002D3208"/>
    <w:rsid w:val="002D34EB"/>
    <w:rsid w:val="002D3618"/>
    <w:rsid w:val="002D3766"/>
    <w:rsid w:val="002D3AEB"/>
    <w:rsid w:val="002D3AEF"/>
    <w:rsid w:val="002D3B1C"/>
    <w:rsid w:val="002D3FD9"/>
    <w:rsid w:val="002D4023"/>
    <w:rsid w:val="002D4068"/>
    <w:rsid w:val="002D4309"/>
    <w:rsid w:val="002D45C0"/>
    <w:rsid w:val="002D486E"/>
    <w:rsid w:val="002D4F01"/>
    <w:rsid w:val="002D517F"/>
    <w:rsid w:val="002D519B"/>
    <w:rsid w:val="002D52F4"/>
    <w:rsid w:val="002D547F"/>
    <w:rsid w:val="002D5933"/>
    <w:rsid w:val="002D5A4C"/>
    <w:rsid w:val="002D5A73"/>
    <w:rsid w:val="002D5BF0"/>
    <w:rsid w:val="002D5CE9"/>
    <w:rsid w:val="002D5E0A"/>
    <w:rsid w:val="002D5E82"/>
    <w:rsid w:val="002D60B9"/>
    <w:rsid w:val="002D60C6"/>
    <w:rsid w:val="002D60C9"/>
    <w:rsid w:val="002D65CE"/>
    <w:rsid w:val="002D67E0"/>
    <w:rsid w:val="002D6CF5"/>
    <w:rsid w:val="002D6ECB"/>
    <w:rsid w:val="002D7321"/>
    <w:rsid w:val="002D7326"/>
    <w:rsid w:val="002D7477"/>
    <w:rsid w:val="002D7791"/>
    <w:rsid w:val="002D7887"/>
    <w:rsid w:val="002D7950"/>
    <w:rsid w:val="002D7A35"/>
    <w:rsid w:val="002D7C1E"/>
    <w:rsid w:val="002D7C30"/>
    <w:rsid w:val="002E0141"/>
    <w:rsid w:val="002E0157"/>
    <w:rsid w:val="002E0308"/>
    <w:rsid w:val="002E043E"/>
    <w:rsid w:val="002E0494"/>
    <w:rsid w:val="002E0871"/>
    <w:rsid w:val="002E094D"/>
    <w:rsid w:val="002E0AC7"/>
    <w:rsid w:val="002E144C"/>
    <w:rsid w:val="002E14D1"/>
    <w:rsid w:val="002E164C"/>
    <w:rsid w:val="002E1793"/>
    <w:rsid w:val="002E1909"/>
    <w:rsid w:val="002E1BE6"/>
    <w:rsid w:val="002E1DBC"/>
    <w:rsid w:val="002E2100"/>
    <w:rsid w:val="002E2451"/>
    <w:rsid w:val="002E2A07"/>
    <w:rsid w:val="002E2C00"/>
    <w:rsid w:val="002E2DA6"/>
    <w:rsid w:val="002E2ED0"/>
    <w:rsid w:val="002E3134"/>
    <w:rsid w:val="002E327E"/>
    <w:rsid w:val="002E3711"/>
    <w:rsid w:val="002E37FA"/>
    <w:rsid w:val="002E4429"/>
    <w:rsid w:val="002E461E"/>
    <w:rsid w:val="002E466D"/>
    <w:rsid w:val="002E4816"/>
    <w:rsid w:val="002E4C25"/>
    <w:rsid w:val="002E4F4A"/>
    <w:rsid w:val="002E5115"/>
    <w:rsid w:val="002E58D3"/>
    <w:rsid w:val="002E5923"/>
    <w:rsid w:val="002E5939"/>
    <w:rsid w:val="002E5C80"/>
    <w:rsid w:val="002E5EE2"/>
    <w:rsid w:val="002E5F21"/>
    <w:rsid w:val="002E60AB"/>
    <w:rsid w:val="002E62F7"/>
    <w:rsid w:val="002E650C"/>
    <w:rsid w:val="002E66CB"/>
    <w:rsid w:val="002E6B0D"/>
    <w:rsid w:val="002E6B5B"/>
    <w:rsid w:val="002E6B7B"/>
    <w:rsid w:val="002E6C3B"/>
    <w:rsid w:val="002E6C52"/>
    <w:rsid w:val="002E6FBA"/>
    <w:rsid w:val="002E74A3"/>
    <w:rsid w:val="002E7DA7"/>
    <w:rsid w:val="002E7FE1"/>
    <w:rsid w:val="002F06A2"/>
    <w:rsid w:val="002F0B61"/>
    <w:rsid w:val="002F0CCA"/>
    <w:rsid w:val="002F1048"/>
    <w:rsid w:val="002F10E2"/>
    <w:rsid w:val="002F159F"/>
    <w:rsid w:val="002F16C6"/>
    <w:rsid w:val="002F18B9"/>
    <w:rsid w:val="002F1901"/>
    <w:rsid w:val="002F1B43"/>
    <w:rsid w:val="002F1B90"/>
    <w:rsid w:val="002F1BFD"/>
    <w:rsid w:val="002F1E28"/>
    <w:rsid w:val="002F1E53"/>
    <w:rsid w:val="002F2152"/>
    <w:rsid w:val="002F2363"/>
    <w:rsid w:val="002F2380"/>
    <w:rsid w:val="002F27CB"/>
    <w:rsid w:val="002F2BF2"/>
    <w:rsid w:val="002F2DFA"/>
    <w:rsid w:val="002F2FF9"/>
    <w:rsid w:val="002F3071"/>
    <w:rsid w:val="002F3177"/>
    <w:rsid w:val="002F31DB"/>
    <w:rsid w:val="002F38F4"/>
    <w:rsid w:val="002F3C06"/>
    <w:rsid w:val="002F4281"/>
    <w:rsid w:val="002F4887"/>
    <w:rsid w:val="002F4AA9"/>
    <w:rsid w:val="002F4FE0"/>
    <w:rsid w:val="002F50C2"/>
    <w:rsid w:val="002F51B2"/>
    <w:rsid w:val="002F51CC"/>
    <w:rsid w:val="002F5368"/>
    <w:rsid w:val="002F5C5F"/>
    <w:rsid w:val="002F5E3D"/>
    <w:rsid w:val="002F6009"/>
    <w:rsid w:val="002F6160"/>
    <w:rsid w:val="002F67F0"/>
    <w:rsid w:val="002F683E"/>
    <w:rsid w:val="002F69B3"/>
    <w:rsid w:val="002F6A71"/>
    <w:rsid w:val="002F6DFB"/>
    <w:rsid w:val="002F7299"/>
    <w:rsid w:val="002F72EF"/>
    <w:rsid w:val="002F77DC"/>
    <w:rsid w:val="002F791C"/>
    <w:rsid w:val="002F7B50"/>
    <w:rsid w:val="002F7C25"/>
    <w:rsid w:val="002F7D19"/>
    <w:rsid w:val="002F7D64"/>
    <w:rsid w:val="002F7EB6"/>
    <w:rsid w:val="002F7F82"/>
    <w:rsid w:val="00300194"/>
    <w:rsid w:val="00300875"/>
    <w:rsid w:val="00300CC4"/>
    <w:rsid w:val="00301103"/>
    <w:rsid w:val="0030112C"/>
    <w:rsid w:val="0030143E"/>
    <w:rsid w:val="0030152F"/>
    <w:rsid w:val="00301913"/>
    <w:rsid w:val="00301C13"/>
    <w:rsid w:val="00301E19"/>
    <w:rsid w:val="0030240D"/>
    <w:rsid w:val="00302657"/>
    <w:rsid w:val="00302690"/>
    <w:rsid w:val="003026A9"/>
    <w:rsid w:val="003028CB"/>
    <w:rsid w:val="00302A37"/>
    <w:rsid w:val="00302AD2"/>
    <w:rsid w:val="00302D1E"/>
    <w:rsid w:val="00302F3D"/>
    <w:rsid w:val="00302F8F"/>
    <w:rsid w:val="00303723"/>
    <w:rsid w:val="00303C9A"/>
    <w:rsid w:val="00303E68"/>
    <w:rsid w:val="003043A2"/>
    <w:rsid w:val="00304436"/>
    <w:rsid w:val="003044D0"/>
    <w:rsid w:val="003046D1"/>
    <w:rsid w:val="00304732"/>
    <w:rsid w:val="0030534F"/>
    <w:rsid w:val="00305844"/>
    <w:rsid w:val="00305A25"/>
    <w:rsid w:val="00305B0C"/>
    <w:rsid w:val="00305B42"/>
    <w:rsid w:val="00305B77"/>
    <w:rsid w:val="00305FE8"/>
    <w:rsid w:val="00306079"/>
    <w:rsid w:val="0030637F"/>
    <w:rsid w:val="0030655E"/>
    <w:rsid w:val="0030660D"/>
    <w:rsid w:val="003067D3"/>
    <w:rsid w:val="0030690E"/>
    <w:rsid w:val="00306A61"/>
    <w:rsid w:val="00306BE1"/>
    <w:rsid w:val="00306CDF"/>
    <w:rsid w:val="00306FD8"/>
    <w:rsid w:val="003073C0"/>
    <w:rsid w:val="003075B7"/>
    <w:rsid w:val="00307907"/>
    <w:rsid w:val="00307CA6"/>
    <w:rsid w:val="00307D6C"/>
    <w:rsid w:val="003100A5"/>
    <w:rsid w:val="0031017E"/>
    <w:rsid w:val="00310537"/>
    <w:rsid w:val="00310728"/>
    <w:rsid w:val="00310860"/>
    <w:rsid w:val="00310A94"/>
    <w:rsid w:val="00310AC7"/>
    <w:rsid w:val="00310EC9"/>
    <w:rsid w:val="00310F00"/>
    <w:rsid w:val="00310FEB"/>
    <w:rsid w:val="0031132B"/>
    <w:rsid w:val="003114D6"/>
    <w:rsid w:val="00311584"/>
    <w:rsid w:val="00311591"/>
    <w:rsid w:val="00311C67"/>
    <w:rsid w:val="00311E06"/>
    <w:rsid w:val="00311F5E"/>
    <w:rsid w:val="00312020"/>
    <w:rsid w:val="003122B7"/>
    <w:rsid w:val="00312309"/>
    <w:rsid w:val="003123F7"/>
    <w:rsid w:val="003126A5"/>
    <w:rsid w:val="00312A8D"/>
    <w:rsid w:val="00312C04"/>
    <w:rsid w:val="00312C8B"/>
    <w:rsid w:val="00312CCD"/>
    <w:rsid w:val="00312F54"/>
    <w:rsid w:val="003133DA"/>
    <w:rsid w:val="003136A4"/>
    <w:rsid w:val="00313B6C"/>
    <w:rsid w:val="00313EC7"/>
    <w:rsid w:val="00314188"/>
    <w:rsid w:val="0031470F"/>
    <w:rsid w:val="0031472C"/>
    <w:rsid w:val="003147BA"/>
    <w:rsid w:val="00314950"/>
    <w:rsid w:val="0031498D"/>
    <w:rsid w:val="003149DA"/>
    <w:rsid w:val="00314B45"/>
    <w:rsid w:val="00314D96"/>
    <w:rsid w:val="00314E5A"/>
    <w:rsid w:val="003150FC"/>
    <w:rsid w:val="00315444"/>
    <w:rsid w:val="003156BA"/>
    <w:rsid w:val="00315A4F"/>
    <w:rsid w:val="00315A8C"/>
    <w:rsid w:val="003160F5"/>
    <w:rsid w:val="003162BF"/>
    <w:rsid w:val="00316548"/>
    <w:rsid w:val="00316CAB"/>
    <w:rsid w:val="0031744E"/>
    <w:rsid w:val="003176FD"/>
    <w:rsid w:val="00317835"/>
    <w:rsid w:val="00320207"/>
    <w:rsid w:val="003206ED"/>
    <w:rsid w:val="00320B7F"/>
    <w:rsid w:val="00320FF0"/>
    <w:rsid w:val="003211E2"/>
    <w:rsid w:val="00321418"/>
    <w:rsid w:val="00321491"/>
    <w:rsid w:val="0032149A"/>
    <w:rsid w:val="00321651"/>
    <w:rsid w:val="0032173D"/>
    <w:rsid w:val="0032180F"/>
    <w:rsid w:val="00321A46"/>
    <w:rsid w:val="00321AF5"/>
    <w:rsid w:val="00321BA4"/>
    <w:rsid w:val="00321E89"/>
    <w:rsid w:val="003220C7"/>
    <w:rsid w:val="00322100"/>
    <w:rsid w:val="0032253E"/>
    <w:rsid w:val="0032265D"/>
    <w:rsid w:val="0032283B"/>
    <w:rsid w:val="00322A11"/>
    <w:rsid w:val="00322A5A"/>
    <w:rsid w:val="00322AB0"/>
    <w:rsid w:val="00322B7E"/>
    <w:rsid w:val="00322BFA"/>
    <w:rsid w:val="00322CEE"/>
    <w:rsid w:val="00322D8C"/>
    <w:rsid w:val="003230B9"/>
    <w:rsid w:val="0032350D"/>
    <w:rsid w:val="00323961"/>
    <w:rsid w:val="00324048"/>
    <w:rsid w:val="0032429A"/>
    <w:rsid w:val="003244FE"/>
    <w:rsid w:val="00324555"/>
    <w:rsid w:val="0032459F"/>
    <w:rsid w:val="003246DA"/>
    <w:rsid w:val="00324762"/>
    <w:rsid w:val="00324AEC"/>
    <w:rsid w:val="0032515F"/>
    <w:rsid w:val="003252D4"/>
    <w:rsid w:val="00325319"/>
    <w:rsid w:val="003254BE"/>
    <w:rsid w:val="003254D5"/>
    <w:rsid w:val="003258BA"/>
    <w:rsid w:val="00325952"/>
    <w:rsid w:val="00325998"/>
    <w:rsid w:val="00325DE2"/>
    <w:rsid w:val="00325E01"/>
    <w:rsid w:val="00325F28"/>
    <w:rsid w:val="00326287"/>
    <w:rsid w:val="00326B8F"/>
    <w:rsid w:val="00326C61"/>
    <w:rsid w:val="00326D5E"/>
    <w:rsid w:val="00326D6E"/>
    <w:rsid w:val="003273F4"/>
    <w:rsid w:val="003274B1"/>
    <w:rsid w:val="00327701"/>
    <w:rsid w:val="00327743"/>
    <w:rsid w:val="003278AC"/>
    <w:rsid w:val="00327AB1"/>
    <w:rsid w:val="00327C36"/>
    <w:rsid w:val="00327CB3"/>
    <w:rsid w:val="003300B6"/>
    <w:rsid w:val="003301E6"/>
    <w:rsid w:val="003303A6"/>
    <w:rsid w:val="0033055A"/>
    <w:rsid w:val="00330AEF"/>
    <w:rsid w:val="00330DB6"/>
    <w:rsid w:val="00330EB8"/>
    <w:rsid w:val="00330FFD"/>
    <w:rsid w:val="003315CC"/>
    <w:rsid w:val="00331654"/>
    <w:rsid w:val="00331811"/>
    <w:rsid w:val="00331AF6"/>
    <w:rsid w:val="00331DB8"/>
    <w:rsid w:val="00331EDB"/>
    <w:rsid w:val="00331FD1"/>
    <w:rsid w:val="0033279B"/>
    <w:rsid w:val="003333FE"/>
    <w:rsid w:val="003334DF"/>
    <w:rsid w:val="00333605"/>
    <w:rsid w:val="00333858"/>
    <w:rsid w:val="00333866"/>
    <w:rsid w:val="003338F9"/>
    <w:rsid w:val="00333A7C"/>
    <w:rsid w:val="003340EC"/>
    <w:rsid w:val="00334598"/>
    <w:rsid w:val="003348DB"/>
    <w:rsid w:val="00334A13"/>
    <w:rsid w:val="00334C54"/>
    <w:rsid w:val="00334F63"/>
    <w:rsid w:val="00335387"/>
    <w:rsid w:val="00335446"/>
    <w:rsid w:val="003354A5"/>
    <w:rsid w:val="003354D5"/>
    <w:rsid w:val="00335CBA"/>
    <w:rsid w:val="0033619B"/>
    <w:rsid w:val="0033663C"/>
    <w:rsid w:val="003369D2"/>
    <w:rsid w:val="00336AE1"/>
    <w:rsid w:val="00336BF2"/>
    <w:rsid w:val="00336FF1"/>
    <w:rsid w:val="0033703B"/>
    <w:rsid w:val="003371CB"/>
    <w:rsid w:val="003371E7"/>
    <w:rsid w:val="003373CF"/>
    <w:rsid w:val="00337CFE"/>
    <w:rsid w:val="00337D3A"/>
    <w:rsid w:val="00337DCF"/>
    <w:rsid w:val="003401C7"/>
    <w:rsid w:val="003403E5"/>
    <w:rsid w:val="00340459"/>
    <w:rsid w:val="003406FD"/>
    <w:rsid w:val="00340777"/>
    <w:rsid w:val="00340ACC"/>
    <w:rsid w:val="00340BB7"/>
    <w:rsid w:val="00340D20"/>
    <w:rsid w:val="00340D7D"/>
    <w:rsid w:val="00340E57"/>
    <w:rsid w:val="003415AF"/>
    <w:rsid w:val="003419E6"/>
    <w:rsid w:val="00341A40"/>
    <w:rsid w:val="00341AE6"/>
    <w:rsid w:val="00341DE6"/>
    <w:rsid w:val="00341E5F"/>
    <w:rsid w:val="003420F6"/>
    <w:rsid w:val="00342577"/>
    <w:rsid w:val="00342BD1"/>
    <w:rsid w:val="00342D03"/>
    <w:rsid w:val="00343038"/>
    <w:rsid w:val="003431A4"/>
    <w:rsid w:val="003431F2"/>
    <w:rsid w:val="0034324E"/>
    <w:rsid w:val="0034329D"/>
    <w:rsid w:val="00343643"/>
    <w:rsid w:val="00343974"/>
    <w:rsid w:val="00343B28"/>
    <w:rsid w:val="00343CFC"/>
    <w:rsid w:val="0034421D"/>
    <w:rsid w:val="0034425F"/>
    <w:rsid w:val="003442B5"/>
    <w:rsid w:val="003442ED"/>
    <w:rsid w:val="00344353"/>
    <w:rsid w:val="003445F1"/>
    <w:rsid w:val="0034476C"/>
    <w:rsid w:val="00344FDA"/>
    <w:rsid w:val="00345006"/>
    <w:rsid w:val="0034569C"/>
    <w:rsid w:val="0034574E"/>
    <w:rsid w:val="0034582F"/>
    <w:rsid w:val="003458DE"/>
    <w:rsid w:val="00345DC4"/>
    <w:rsid w:val="00345FEC"/>
    <w:rsid w:val="0034626A"/>
    <w:rsid w:val="00346270"/>
    <w:rsid w:val="003462C5"/>
    <w:rsid w:val="0034665A"/>
    <w:rsid w:val="0034666A"/>
    <w:rsid w:val="0034681C"/>
    <w:rsid w:val="00346A42"/>
    <w:rsid w:val="00346B88"/>
    <w:rsid w:val="00346C36"/>
    <w:rsid w:val="00346C47"/>
    <w:rsid w:val="00346D4B"/>
    <w:rsid w:val="00346EB9"/>
    <w:rsid w:val="003474F5"/>
    <w:rsid w:val="00347AE2"/>
    <w:rsid w:val="00347B89"/>
    <w:rsid w:val="00347D6C"/>
    <w:rsid w:val="00347EFE"/>
    <w:rsid w:val="00350252"/>
    <w:rsid w:val="00350434"/>
    <w:rsid w:val="003507CF"/>
    <w:rsid w:val="00350863"/>
    <w:rsid w:val="003509C2"/>
    <w:rsid w:val="00350BBB"/>
    <w:rsid w:val="00351184"/>
    <w:rsid w:val="00351269"/>
    <w:rsid w:val="00351326"/>
    <w:rsid w:val="00351706"/>
    <w:rsid w:val="003518D8"/>
    <w:rsid w:val="00351B8E"/>
    <w:rsid w:val="00351DCC"/>
    <w:rsid w:val="0035223B"/>
    <w:rsid w:val="00352303"/>
    <w:rsid w:val="0035240B"/>
    <w:rsid w:val="003524FE"/>
    <w:rsid w:val="003526A0"/>
    <w:rsid w:val="00352715"/>
    <w:rsid w:val="00352851"/>
    <w:rsid w:val="00352A5A"/>
    <w:rsid w:val="00352BF7"/>
    <w:rsid w:val="00352CF2"/>
    <w:rsid w:val="00352F46"/>
    <w:rsid w:val="00352FC0"/>
    <w:rsid w:val="00352FCE"/>
    <w:rsid w:val="0035332F"/>
    <w:rsid w:val="003533DB"/>
    <w:rsid w:val="00353A40"/>
    <w:rsid w:val="0035406D"/>
    <w:rsid w:val="00354247"/>
    <w:rsid w:val="003542AF"/>
    <w:rsid w:val="003542EF"/>
    <w:rsid w:val="00354302"/>
    <w:rsid w:val="003548C7"/>
    <w:rsid w:val="00354EA9"/>
    <w:rsid w:val="003553D8"/>
    <w:rsid w:val="0035550A"/>
    <w:rsid w:val="003555CE"/>
    <w:rsid w:val="00355785"/>
    <w:rsid w:val="003557E2"/>
    <w:rsid w:val="00355E9D"/>
    <w:rsid w:val="00355F88"/>
    <w:rsid w:val="0035623A"/>
    <w:rsid w:val="003564B4"/>
    <w:rsid w:val="003566B8"/>
    <w:rsid w:val="00356746"/>
    <w:rsid w:val="00356796"/>
    <w:rsid w:val="003569AE"/>
    <w:rsid w:val="00356B51"/>
    <w:rsid w:val="00356BC5"/>
    <w:rsid w:val="00356D7B"/>
    <w:rsid w:val="00356F16"/>
    <w:rsid w:val="00357051"/>
    <w:rsid w:val="0035740C"/>
    <w:rsid w:val="00357433"/>
    <w:rsid w:val="00357531"/>
    <w:rsid w:val="0035753E"/>
    <w:rsid w:val="00357D08"/>
    <w:rsid w:val="00357DC4"/>
    <w:rsid w:val="00357EF1"/>
    <w:rsid w:val="0036019C"/>
    <w:rsid w:val="003608B3"/>
    <w:rsid w:val="003609A6"/>
    <w:rsid w:val="00361412"/>
    <w:rsid w:val="003614A8"/>
    <w:rsid w:val="0036173B"/>
    <w:rsid w:val="00361836"/>
    <w:rsid w:val="00361AF3"/>
    <w:rsid w:val="00361CF3"/>
    <w:rsid w:val="00361D50"/>
    <w:rsid w:val="00361F04"/>
    <w:rsid w:val="003628BC"/>
    <w:rsid w:val="00362982"/>
    <w:rsid w:val="00362C55"/>
    <w:rsid w:val="00362F61"/>
    <w:rsid w:val="0036304A"/>
    <w:rsid w:val="003633D1"/>
    <w:rsid w:val="0036354A"/>
    <w:rsid w:val="00363701"/>
    <w:rsid w:val="003639B3"/>
    <w:rsid w:val="00363CEB"/>
    <w:rsid w:val="00363EF1"/>
    <w:rsid w:val="00363F61"/>
    <w:rsid w:val="00364045"/>
    <w:rsid w:val="003642B0"/>
    <w:rsid w:val="0036430F"/>
    <w:rsid w:val="003643B8"/>
    <w:rsid w:val="00364E1E"/>
    <w:rsid w:val="00365014"/>
    <w:rsid w:val="00365195"/>
    <w:rsid w:val="00365485"/>
    <w:rsid w:val="00365D60"/>
    <w:rsid w:val="0036602B"/>
    <w:rsid w:val="003660EE"/>
    <w:rsid w:val="0036610B"/>
    <w:rsid w:val="003663AB"/>
    <w:rsid w:val="003663FC"/>
    <w:rsid w:val="00366537"/>
    <w:rsid w:val="00366B65"/>
    <w:rsid w:val="00366C06"/>
    <w:rsid w:val="00366FC9"/>
    <w:rsid w:val="0036700C"/>
    <w:rsid w:val="00367076"/>
    <w:rsid w:val="00367123"/>
    <w:rsid w:val="00367284"/>
    <w:rsid w:val="00367324"/>
    <w:rsid w:val="0036734E"/>
    <w:rsid w:val="00367AA3"/>
    <w:rsid w:val="00367AD4"/>
    <w:rsid w:val="00367DBA"/>
    <w:rsid w:val="00367FF1"/>
    <w:rsid w:val="003700CC"/>
    <w:rsid w:val="00370138"/>
    <w:rsid w:val="0037033F"/>
    <w:rsid w:val="0037068B"/>
    <w:rsid w:val="003708E0"/>
    <w:rsid w:val="00370AAA"/>
    <w:rsid w:val="00370AFA"/>
    <w:rsid w:val="00370B5D"/>
    <w:rsid w:val="00371043"/>
    <w:rsid w:val="003712C8"/>
    <w:rsid w:val="0037168F"/>
    <w:rsid w:val="0037186A"/>
    <w:rsid w:val="00371F22"/>
    <w:rsid w:val="00372045"/>
    <w:rsid w:val="00372119"/>
    <w:rsid w:val="003721B3"/>
    <w:rsid w:val="00372A86"/>
    <w:rsid w:val="00372D08"/>
    <w:rsid w:val="00372DE3"/>
    <w:rsid w:val="00372E8A"/>
    <w:rsid w:val="00373084"/>
    <w:rsid w:val="003731FF"/>
    <w:rsid w:val="00373745"/>
    <w:rsid w:val="003738DA"/>
    <w:rsid w:val="00373AF7"/>
    <w:rsid w:val="00373B26"/>
    <w:rsid w:val="00373C13"/>
    <w:rsid w:val="00373F59"/>
    <w:rsid w:val="00373FA7"/>
    <w:rsid w:val="003743C6"/>
    <w:rsid w:val="0037460A"/>
    <w:rsid w:val="00374A44"/>
    <w:rsid w:val="00374EB1"/>
    <w:rsid w:val="00374FB5"/>
    <w:rsid w:val="003750C2"/>
    <w:rsid w:val="0037525D"/>
    <w:rsid w:val="003752ED"/>
    <w:rsid w:val="003755C4"/>
    <w:rsid w:val="00375898"/>
    <w:rsid w:val="00375BC2"/>
    <w:rsid w:val="00375D09"/>
    <w:rsid w:val="00375DA3"/>
    <w:rsid w:val="00375FBC"/>
    <w:rsid w:val="0037637A"/>
    <w:rsid w:val="0037662F"/>
    <w:rsid w:val="00376BD1"/>
    <w:rsid w:val="00376E24"/>
    <w:rsid w:val="0037715B"/>
    <w:rsid w:val="0037715E"/>
    <w:rsid w:val="0037726B"/>
    <w:rsid w:val="00377478"/>
    <w:rsid w:val="0037790C"/>
    <w:rsid w:val="00377F93"/>
    <w:rsid w:val="00380004"/>
    <w:rsid w:val="003804DF"/>
    <w:rsid w:val="0038064E"/>
    <w:rsid w:val="003809FF"/>
    <w:rsid w:val="00380BEC"/>
    <w:rsid w:val="00380DDA"/>
    <w:rsid w:val="00380EB1"/>
    <w:rsid w:val="00381357"/>
    <w:rsid w:val="00381414"/>
    <w:rsid w:val="003816DE"/>
    <w:rsid w:val="00381962"/>
    <w:rsid w:val="00381A59"/>
    <w:rsid w:val="00382285"/>
    <w:rsid w:val="003822C2"/>
    <w:rsid w:val="003827EC"/>
    <w:rsid w:val="00382A43"/>
    <w:rsid w:val="003831A2"/>
    <w:rsid w:val="00383662"/>
    <w:rsid w:val="00383A89"/>
    <w:rsid w:val="00383E97"/>
    <w:rsid w:val="00383F85"/>
    <w:rsid w:val="003842C4"/>
    <w:rsid w:val="00384A48"/>
    <w:rsid w:val="00384CCA"/>
    <w:rsid w:val="00384D9F"/>
    <w:rsid w:val="00384EBA"/>
    <w:rsid w:val="003850EB"/>
    <w:rsid w:val="00385847"/>
    <w:rsid w:val="00385929"/>
    <w:rsid w:val="00385AD1"/>
    <w:rsid w:val="00385DB2"/>
    <w:rsid w:val="00386396"/>
    <w:rsid w:val="00386B1A"/>
    <w:rsid w:val="00386F19"/>
    <w:rsid w:val="00386F5D"/>
    <w:rsid w:val="003871A4"/>
    <w:rsid w:val="0038748D"/>
    <w:rsid w:val="00387670"/>
    <w:rsid w:val="003876C9"/>
    <w:rsid w:val="00387F58"/>
    <w:rsid w:val="00390041"/>
    <w:rsid w:val="0039027C"/>
    <w:rsid w:val="0039066B"/>
    <w:rsid w:val="00390822"/>
    <w:rsid w:val="003908B5"/>
    <w:rsid w:val="00390AF9"/>
    <w:rsid w:val="00390C70"/>
    <w:rsid w:val="00390C9A"/>
    <w:rsid w:val="00391050"/>
    <w:rsid w:val="00391058"/>
    <w:rsid w:val="0039110B"/>
    <w:rsid w:val="003912A4"/>
    <w:rsid w:val="0039163D"/>
    <w:rsid w:val="00391AB2"/>
    <w:rsid w:val="00391CB5"/>
    <w:rsid w:val="00392200"/>
    <w:rsid w:val="00392595"/>
    <w:rsid w:val="0039298A"/>
    <w:rsid w:val="00392A45"/>
    <w:rsid w:val="00392BFC"/>
    <w:rsid w:val="00392C5A"/>
    <w:rsid w:val="0039306F"/>
    <w:rsid w:val="00393526"/>
    <w:rsid w:val="003936C9"/>
    <w:rsid w:val="00393916"/>
    <w:rsid w:val="0039397C"/>
    <w:rsid w:val="00393C21"/>
    <w:rsid w:val="00393C35"/>
    <w:rsid w:val="00393DC5"/>
    <w:rsid w:val="00394060"/>
    <w:rsid w:val="003941DF"/>
    <w:rsid w:val="00394306"/>
    <w:rsid w:val="0039436B"/>
    <w:rsid w:val="00394439"/>
    <w:rsid w:val="00394FFD"/>
    <w:rsid w:val="00395261"/>
    <w:rsid w:val="0039563F"/>
    <w:rsid w:val="003957B4"/>
    <w:rsid w:val="00395CFC"/>
    <w:rsid w:val="00395D29"/>
    <w:rsid w:val="00395E44"/>
    <w:rsid w:val="0039603D"/>
    <w:rsid w:val="0039669E"/>
    <w:rsid w:val="00396CFC"/>
    <w:rsid w:val="00396DC6"/>
    <w:rsid w:val="00396FA8"/>
    <w:rsid w:val="00397338"/>
    <w:rsid w:val="003978E8"/>
    <w:rsid w:val="00397A1E"/>
    <w:rsid w:val="003A09A0"/>
    <w:rsid w:val="003A0D44"/>
    <w:rsid w:val="003A0D8B"/>
    <w:rsid w:val="003A0E0C"/>
    <w:rsid w:val="003A0F1C"/>
    <w:rsid w:val="003A12DD"/>
    <w:rsid w:val="003A150C"/>
    <w:rsid w:val="003A18EB"/>
    <w:rsid w:val="003A1DE0"/>
    <w:rsid w:val="003A1F4E"/>
    <w:rsid w:val="003A2137"/>
    <w:rsid w:val="003A2161"/>
    <w:rsid w:val="003A238E"/>
    <w:rsid w:val="003A270B"/>
    <w:rsid w:val="003A28FE"/>
    <w:rsid w:val="003A2BC8"/>
    <w:rsid w:val="003A3120"/>
    <w:rsid w:val="003A34DF"/>
    <w:rsid w:val="003A3750"/>
    <w:rsid w:val="003A3812"/>
    <w:rsid w:val="003A39C3"/>
    <w:rsid w:val="003A3C78"/>
    <w:rsid w:val="003A3FE2"/>
    <w:rsid w:val="003A4272"/>
    <w:rsid w:val="003A4660"/>
    <w:rsid w:val="003A4983"/>
    <w:rsid w:val="003A4B3B"/>
    <w:rsid w:val="003A5017"/>
    <w:rsid w:val="003A50C9"/>
    <w:rsid w:val="003A5369"/>
    <w:rsid w:val="003A54C7"/>
    <w:rsid w:val="003A58EC"/>
    <w:rsid w:val="003A5A3A"/>
    <w:rsid w:val="003A60D4"/>
    <w:rsid w:val="003A643A"/>
    <w:rsid w:val="003A671E"/>
    <w:rsid w:val="003A682D"/>
    <w:rsid w:val="003A68AB"/>
    <w:rsid w:val="003A6B11"/>
    <w:rsid w:val="003A700F"/>
    <w:rsid w:val="003A701D"/>
    <w:rsid w:val="003A70D0"/>
    <w:rsid w:val="003A724B"/>
    <w:rsid w:val="003A757F"/>
    <w:rsid w:val="003A7D61"/>
    <w:rsid w:val="003A7D85"/>
    <w:rsid w:val="003B031E"/>
    <w:rsid w:val="003B0327"/>
    <w:rsid w:val="003B03EB"/>
    <w:rsid w:val="003B0415"/>
    <w:rsid w:val="003B08EF"/>
    <w:rsid w:val="003B0933"/>
    <w:rsid w:val="003B0CA6"/>
    <w:rsid w:val="003B0CCE"/>
    <w:rsid w:val="003B0E32"/>
    <w:rsid w:val="003B0EC0"/>
    <w:rsid w:val="003B0F9D"/>
    <w:rsid w:val="003B1009"/>
    <w:rsid w:val="003B1412"/>
    <w:rsid w:val="003B16CD"/>
    <w:rsid w:val="003B1D0F"/>
    <w:rsid w:val="003B26DA"/>
    <w:rsid w:val="003B2B54"/>
    <w:rsid w:val="003B2C61"/>
    <w:rsid w:val="003B2D08"/>
    <w:rsid w:val="003B2EEA"/>
    <w:rsid w:val="003B2F04"/>
    <w:rsid w:val="003B313B"/>
    <w:rsid w:val="003B31B9"/>
    <w:rsid w:val="003B34ED"/>
    <w:rsid w:val="003B36F7"/>
    <w:rsid w:val="003B3DAE"/>
    <w:rsid w:val="003B42AA"/>
    <w:rsid w:val="003B4399"/>
    <w:rsid w:val="003B459D"/>
    <w:rsid w:val="003B4A95"/>
    <w:rsid w:val="003B4E08"/>
    <w:rsid w:val="003B511A"/>
    <w:rsid w:val="003B51E4"/>
    <w:rsid w:val="003B536F"/>
    <w:rsid w:val="003B540A"/>
    <w:rsid w:val="003B5C43"/>
    <w:rsid w:val="003B5C92"/>
    <w:rsid w:val="003B5E25"/>
    <w:rsid w:val="003B5E6F"/>
    <w:rsid w:val="003B603B"/>
    <w:rsid w:val="003B6611"/>
    <w:rsid w:val="003B6BFD"/>
    <w:rsid w:val="003B7410"/>
    <w:rsid w:val="003B76B3"/>
    <w:rsid w:val="003B76E0"/>
    <w:rsid w:val="003B795A"/>
    <w:rsid w:val="003B7C32"/>
    <w:rsid w:val="003B7DD4"/>
    <w:rsid w:val="003C0223"/>
    <w:rsid w:val="003C041B"/>
    <w:rsid w:val="003C0500"/>
    <w:rsid w:val="003C0BCC"/>
    <w:rsid w:val="003C0D96"/>
    <w:rsid w:val="003C0DD4"/>
    <w:rsid w:val="003C0DD8"/>
    <w:rsid w:val="003C113C"/>
    <w:rsid w:val="003C11D6"/>
    <w:rsid w:val="003C1261"/>
    <w:rsid w:val="003C14DB"/>
    <w:rsid w:val="003C14F1"/>
    <w:rsid w:val="003C1790"/>
    <w:rsid w:val="003C18B2"/>
    <w:rsid w:val="003C1E4D"/>
    <w:rsid w:val="003C217A"/>
    <w:rsid w:val="003C21F5"/>
    <w:rsid w:val="003C2355"/>
    <w:rsid w:val="003C265E"/>
    <w:rsid w:val="003C26EF"/>
    <w:rsid w:val="003C2A98"/>
    <w:rsid w:val="003C330F"/>
    <w:rsid w:val="003C37ED"/>
    <w:rsid w:val="003C3C38"/>
    <w:rsid w:val="003C4EE1"/>
    <w:rsid w:val="003C4FF2"/>
    <w:rsid w:val="003C500F"/>
    <w:rsid w:val="003C51BE"/>
    <w:rsid w:val="003C5AAC"/>
    <w:rsid w:val="003C5DA2"/>
    <w:rsid w:val="003C5E41"/>
    <w:rsid w:val="003C5F33"/>
    <w:rsid w:val="003C6151"/>
    <w:rsid w:val="003C63B9"/>
    <w:rsid w:val="003C6468"/>
    <w:rsid w:val="003C647F"/>
    <w:rsid w:val="003C6489"/>
    <w:rsid w:val="003C6523"/>
    <w:rsid w:val="003C67B8"/>
    <w:rsid w:val="003C67C7"/>
    <w:rsid w:val="003C6B3F"/>
    <w:rsid w:val="003C6C9F"/>
    <w:rsid w:val="003C6D80"/>
    <w:rsid w:val="003C706B"/>
    <w:rsid w:val="003C718C"/>
    <w:rsid w:val="003C7490"/>
    <w:rsid w:val="003C7608"/>
    <w:rsid w:val="003C76FA"/>
    <w:rsid w:val="003C7714"/>
    <w:rsid w:val="003C7A1F"/>
    <w:rsid w:val="003C7AEF"/>
    <w:rsid w:val="003D0261"/>
    <w:rsid w:val="003D0371"/>
    <w:rsid w:val="003D03F1"/>
    <w:rsid w:val="003D040F"/>
    <w:rsid w:val="003D0B82"/>
    <w:rsid w:val="003D0BA2"/>
    <w:rsid w:val="003D0C64"/>
    <w:rsid w:val="003D0F3D"/>
    <w:rsid w:val="003D117E"/>
    <w:rsid w:val="003D1375"/>
    <w:rsid w:val="003D1681"/>
    <w:rsid w:val="003D19DC"/>
    <w:rsid w:val="003D1DA3"/>
    <w:rsid w:val="003D1E36"/>
    <w:rsid w:val="003D1E7A"/>
    <w:rsid w:val="003D1F58"/>
    <w:rsid w:val="003D2319"/>
    <w:rsid w:val="003D2345"/>
    <w:rsid w:val="003D23E8"/>
    <w:rsid w:val="003D2611"/>
    <w:rsid w:val="003D2C79"/>
    <w:rsid w:val="003D35D7"/>
    <w:rsid w:val="003D3758"/>
    <w:rsid w:val="003D3A7B"/>
    <w:rsid w:val="003D3EAD"/>
    <w:rsid w:val="003D4670"/>
    <w:rsid w:val="003D4A0F"/>
    <w:rsid w:val="003D527B"/>
    <w:rsid w:val="003D548D"/>
    <w:rsid w:val="003D556C"/>
    <w:rsid w:val="003D577C"/>
    <w:rsid w:val="003D58DE"/>
    <w:rsid w:val="003D5A72"/>
    <w:rsid w:val="003D60A6"/>
    <w:rsid w:val="003D63B0"/>
    <w:rsid w:val="003D6976"/>
    <w:rsid w:val="003D6B10"/>
    <w:rsid w:val="003D6BDB"/>
    <w:rsid w:val="003D7298"/>
    <w:rsid w:val="003D760B"/>
    <w:rsid w:val="003D772F"/>
    <w:rsid w:val="003D7780"/>
    <w:rsid w:val="003D79AC"/>
    <w:rsid w:val="003D7B18"/>
    <w:rsid w:val="003D7FE6"/>
    <w:rsid w:val="003E05F2"/>
    <w:rsid w:val="003E064B"/>
    <w:rsid w:val="003E0701"/>
    <w:rsid w:val="003E07AB"/>
    <w:rsid w:val="003E0BDC"/>
    <w:rsid w:val="003E0C4D"/>
    <w:rsid w:val="003E0D65"/>
    <w:rsid w:val="003E11AC"/>
    <w:rsid w:val="003E1204"/>
    <w:rsid w:val="003E125B"/>
    <w:rsid w:val="003E1464"/>
    <w:rsid w:val="003E16F1"/>
    <w:rsid w:val="003E1B0B"/>
    <w:rsid w:val="003E1D06"/>
    <w:rsid w:val="003E1D5C"/>
    <w:rsid w:val="003E24EE"/>
    <w:rsid w:val="003E2B82"/>
    <w:rsid w:val="003E2D40"/>
    <w:rsid w:val="003E317D"/>
    <w:rsid w:val="003E31A2"/>
    <w:rsid w:val="003E327B"/>
    <w:rsid w:val="003E355D"/>
    <w:rsid w:val="003E37BE"/>
    <w:rsid w:val="003E3822"/>
    <w:rsid w:val="003E3B79"/>
    <w:rsid w:val="003E3BF3"/>
    <w:rsid w:val="003E3DF2"/>
    <w:rsid w:val="003E3E24"/>
    <w:rsid w:val="003E4566"/>
    <w:rsid w:val="003E4725"/>
    <w:rsid w:val="003E481C"/>
    <w:rsid w:val="003E5AE9"/>
    <w:rsid w:val="003E5C08"/>
    <w:rsid w:val="003E5D85"/>
    <w:rsid w:val="003E5DB6"/>
    <w:rsid w:val="003E622E"/>
    <w:rsid w:val="003E6461"/>
    <w:rsid w:val="003E67AB"/>
    <w:rsid w:val="003E6882"/>
    <w:rsid w:val="003E6C95"/>
    <w:rsid w:val="003E6E4A"/>
    <w:rsid w:val="003E6E4D"/>
    <w:rsid w:val="003E6FAA"/>
    <w:rsid w:val="003E700E"/>
    <w:rsid w:val="003E7284"/>
    <w:rsid w:val="003E75E3"/>
    <w:rsid w:val="003E7A4F"/>
    <w:rsid w:val="003E7C33"/>
    <w:rsid w:val="003E7EC6"/>
    <w:rsid w:val="003F0641"/>
    <w:rsid w:val="003F06D5"/>
    <w:rsid w:val="003F07C7"/>
    <w:rsid w:val="003F07D0"/>
    <w:rsid w:val="003F09BE"/>
    <w:rsid w:val="003F0B67"/>
    <w:rsid w:val="003F0F84"/>
    <w:rsid w:val="003F109A"/>
    <w:rsid w:val="003F1597"/>
    <w:rsid w:val="003F1795"/>
    <w:rsid w:val="003F1C97"/>
    <w:rsid w:val="003F2A12"/>
    <w:rsid w:val="003F2A13"/>
    <w:rsid w:val="003F2C86"/>
    <w:rsid w:val="003F39A5"/>
    <w:rsid w:val="003F4092"/>
    <w:rsid w:val="003F41AB"/>
    <w:rsid w:val="003F41D7"/>
    <w:rsid w:val="003F48EC"/>
    <w:rsid w:val="003F4D1E"/>
    <w:rsid w:val="003F4DD5"/>
    <w:rsid w:val="003F5226"/>
    <w:rsid w:val="003F52F0"/>
    <w:rsid w:val="003F57A2"/>
    <w:rsid w:val="003F59F7"/>
    <w:rsid w:val="003F5AA1"/>
    <w:rsid w:val="003F5C5A"/>
    <w:rsid w:val="003F5D9A"/>
    <w:rsid w:val="003F6088"/>
    <w:rsid w:val="003F609F"/>
    <w:rsid w:val="003F6257"/>
    <w:rsid w:val="003F627C"/>
    <w:rsid w:val="003F6324"/>
    <w:rsid w:val="003F65F7"/>
    <w:rsid w:val="003F679F"/>
    <w:rsid w:val="003F6A5A"/>
    <w:rsid w:val="003F6B6F"/>
    <w:rsid w:val="003F6C37"/>
    <w:rsid w:val="003F6E1D"/>
    <w:rsid w:val="003F6FE5"/>
    <w:rsid w:val="003F7015"/>
    <w:rsid w:val="003F701A"/>
    <w:rsid w:val="003F70B5"/>
    <w:rsid w:val="003F7198"/>
    <w:rsid w:val="003F71C0"/>
    <w:rsid w:val="003F7399"/>
    <w:rsid w:val="003F7486"/>
    <w:rsid w:val="003F78E3"/>
    <w:rsid w:val="003F79D3"/>
    <w:rsid w:val="003F7D55"/>
    <w:rsid w:val="003F7E87"/>
    <w:rsid w:val="004001A5"/>
    <w:rsid w:val="00400304"/>
    <w:rsid w:val="0040091C"/>
    <w:rsid w:val="004009E1"/>
    <w:rsid w:val="00400BD7"/>
    <w:rsid w:val="00400C8C"/>
    <w:rsid w:val="00400CE1"/>
    <w:rsid w:val="00400F26"/>
    <w:rsid w:val="00400FDC"/>
    <w:rsid w:val="004010A4"/>
    <w:rsid w:val="004010C1"/>
    <w:rsid w:val="00401381"/>
    <w:rsid w:val="0040147D"/>
    <w:rsid w:val="00401A7C"/>
    <w:rsid w:val="00401B8B"/>
    <w:rsid w:val="00401D06"/>
    <w:rsid w:val="00401D79"/>
    <w:rsid w:val="00401DD1"/>
    <w:rsid w:val="00401E73"/>
    <w:rsid w:val="00402277"/>
    <w:rsid w:val="00402435"/>
    <w:rsid w:val="00402840"/>
    <w:rsid w:val="00402A5D"/>
    <w:rsid w:val="00402C96"/>
    <w:rsid w:val="00402DB8"/>
    <w:rsid w:val="00402EEF"/>
    <w:rsid w:val="0040308B"/>
    <w:rsid w:val="004032E1"/>
    <w:rsid w:val="004032ED"/>
    <w:rsid w:val="0040369F"/>
    <w:rsid w:val="00403725"/>
    <w:rsid w:val="00403742"/>
    <w:rsid w:val="00403923"/>
    <w:rsid w:val="00403BBD"/>
    <w:rsid w:val="00403BBF"/>
    <w:rsid w:val="004042B9"/>
    <w:rsid w:val="004042E0"/>
    <w:rsid w:val="00404724"/>
    <w:rsid w:val="004047EE"/>
    <w:rsid w:val="004048FA"/>
    <w:rsid w:val="00404B2A"/>
    <w:rsid w:val="00404DCC"/>
    <w:rsid w:val="00404F07"/>
    <w:rsid w:val="00404F2E"/>
    <w:rsid w:val="00405038"/>
    <w:rsid w:val="004054F9"/>
    <w:rsid w:val="00405837"/>
    <w:rsid w:val="004058A0"/>
    <w:rsid w:val="00405AC8"/>
    <w:rsid w:val="00405B0E"/>
    <w:rsid w:val="004060CF"/>
    <w:rsid w:val="00406187"/>
    <w:rsid w:val="004061FE"/>
    <w:rsid w:val="00406582"/>
    <w:rsid w:val="0040658D"/>
    <w:rsid w:val="004065B5"/>
    <w:rsid w:val="004069C3"/>
    <w:rsid w:val="00406D78"/>
    <w:rsid w:val="00406FB5"/>
    <w:rsid w:val="00407040"/>
    <w:rsid w:val="00407307"/>
    <w:rsid w:val="00407574"/>
    <w:rsid w:val="004102D3"/>
    <w:rsid w:val="00410456"/>
    <w:rsid w:val="0041096A"/>
    <w:rsid w:val="00410991"/>
    <w:rsid w:val="00410C4B"/>
    <w:rsid w:val="00411211"/>
    <w:rsid w:val="0041158B"/>
    <w:rsid w:val="00411748"/>
    <w:rsid w:val="00411755"/>
    <w:rsid w:val="00411B8E"/>
    <w:rsid w:val="0041244F"/>
    <w:rsid w:val="0041282F"/>
    <w:rsid w:val="00412B9D"/>
    <w:rsid w:val="00412C15"/>
    <w:rsid w:val="004130A4"/>
    <w:rsid w:val="00413259"/>
    <w:rsid w:val="0041388F"/>
    <w:rsid w:val="004138CF"/>
    <w:rsid w:val="0041395E"/>
    <w:rsid w:val="00413CEF"/>
    <w:rsid w:val="00413D1F"/>
    <w:rsid w:val="00413D87"/>
    <w:rsid w:val="00413F23"/>
    <w:rsid w:val="004144E4"/>
    <w:rsid w:val="00414643"/>
    <w:rsid w:val="00414AC6"/>
    <w:rsid w:val="00415251"/>
    <w:rsid w:val="004154E4"/>
    <w:rsid w:val="004163DD"/>
    <w:rsid w:val="0041640C"/>
    <w:rsid w:val="004164DF"/>
    <w:rsid w:val="00416646"/>
    <w:rsid w:val="0041677C"/>
    <w:rsid w:val="00416CDE"/>
    <w:rsid w:val="00416E36"/>
    <w:rsid w:val="0041726F"/>
    <w:rsid w:val="00417811"/>
    <w:rsid w:val="0041796F"/>
    <w:rsid w:val="00420047"/>
    <w:rsid w:val="00420468"/>
    <w:rsid w:val="00420535"/>
    <w:rsid w:val="00420E85"/>
    <w:rsid w:val="004213A4"/>
    <w:rsid w:val="00421A8C"/>
    <w:rsid w:val="00421E1B"/>
    <w:rsid w:val="004220B3"/>
    <w:rsid w:val="004221BE"/>
    <w:rsid w:val="004221F6"/>
    <w:rsid w:val="00422287"/>
    <w:rsid w:val="00422340"/>
    <w:rsid w:val="00422913"/>
    <w:rsid w:val="00422A13"/>
    <w:rsid w:val="00422A2C"/>
    <w:rsid w:val="00422C9A"/>
    <w:rsid w:val="0042318F"/>
    <w:rsid w:val="00423200"/>
    <w:rsid w:val="00423425"/>
    <w:rsid w:val="0042357C"/>
    <w:rsid w:val="00423791"/>
    <w:rsid w:val="004237AC"/>
    <w:rsid w:val="00423B2A"/>
    <w:rsid w:val="00423C4D"/>
    <w:rsid w:val="00424305"/>
    <w:rsid w:val="004243C9"/>
    <w:rsid w:val="00424682"/>
    <w:rsid w:val="004246A9"/>
    <w:rsid w:val="004246CE"/>
    <w:rsid w:val="00424764"/>
    <w:rsid w:val="0042477C"/>
    <w:rsid w:val="00424CE3"/>
    <w:rsid w:val="004250E3"/>
    <w:rsid w:val="00425320"/>
    <w:rsid w:val="00425777"/>
    <w:rsid w:val="004257F2"/>
    <w:rsid w:val="004258C0"/>
    <w:rsid w:val="00425B39"/>
    <w:rsid w:val="00425D44"/>
    <w:rsid w:val="004265D5"/>
    <w:rsid w:val="0042669F"/>
    <w:rsid w:val="004269F6"/>
    <w:rsid w:val="00426F0C"/>
    <w:rsid w:val="00426F10"/>
    <w:rsid w:val="00426F85"/>
    <w:rsid w:val="00426FFF"/>
    <w:rsid w:val="0042724E"/>
    <w:rsid w:val="0042769A"/>
    <w:rsid w:val="004278BC"/>
    <w:rsid w:val="00427AC6"/>
    <w:rsid w:val="00427D43"/>
    <w:rsid w:val="00427DE2"/>
    <w:rsid w:val="00427DFC"/>
    <w:rsid w:val="004300BD"/>
    <w:rsid w:val="00430254"/>
    <w:rsid w:val="0043051A"/>
    <w:rsid w:val="00430718"/>
    <w:rsid w:val="00430810"/>
    <w:rsid w:val="004308F5"/>
    <w:rsid w:val="004309C4"/>
    <w:rsid w:val="00430EE3"/>
    <w:rsid w:val="0043118E"/>
    <w:rsid w:val="00431ADF"/>
    <w:rsid w:val="00431B3C"/>
    <w:rsid w:val="004323B9"/>
    <w:rsid w:val="0043246A"/>
    <w:rsid w:val="004324EC"/>
    <w:rsid w:val="00432505"/>
    <w:rsid w:val="00432589"/>
    <w:rsid w:val="00432A63"/>
    <w:rsid w:val="00433000"/>
    <w:rsid w:val="0043305C"/>
    <w:rsid w:val="004332D7"/>
    <w:rsid w:val="004333B8"/>
    <w:rsid w:val="00433965"/>
    <w:rsid w:val="00433DD7"/>
    <w:rsid w:val="00433DFC"/>
    <w:rsid w:val="00433F59"/>
    <w:rsid w:val="00434160"/>
    <w:rsid w:val="0043486D"/>
    <w:rsid w:val="00434964"/>
    <w:rsid w:val="004350EE"/>
    <w:rsid w:val="00435395"/>
    <w:rsid w:val="0043582F"/>
    <w:rsid w:val="00436230"/>
    <w:rsid w:val="004366BE"/>
    <w:rsid w:val="00436A1F"/>
    <w:rsid w:val="00436B86"/>
    <w:rsid w:val="00436D4B"/>
    <w:rsid w:val="00436EBF"/>
    <w:rsid w:val="00436F23"/>
    <w:rsid w:val="00437362"/>
    <w:rsid w:val="004373CB"/>
    <w:rsid w:val="004374A1"/>
    <w:rsid w:val="00437655"/>
    <w:rsid w:val="00437AFB"/>
    <w:rsid w:val="00437CD4"/>
    <w:rsid w:val="00437D48"/>
    <w:rsid w:val="00440005"/>
    <w:rsid w:val="0044019A"/>
    <w:rsid w:val="00440711"/>
    <w:rsid w:val="00440800"/>
    <w:rsid w:val="00440C4E"/>
    <w:rsid w:val="00441237"/>
    <w:rsid w:val="00441244"/>
    <w:rsid w:val="004413B3"/>
    <w:rsid w:val="004414DF"/>
    <w:rsid w:val="0044159B"/>
    <w:rsid w:val="00441891"/>
    <w:rsid w:val="00441FD9"/>
    <w:rsid w:val="004420D4"/>
    <w:rsid w:val="0044255D"/>
    <w:rsid w:val="0044283D"/>
    <w:rsid w:val="00442860"/>
    <w:rsid w:val="00442AB0"/>
    <w:rsid w:val="00442ED8"/>
    <w:rsid w:val="00443046"/>
    <w:rsid w:val="004432C1"/>
    <w:rsid w:val="00443462"/>
    <w:rsid w:val="00443586"/>
    <w:rsid w:val="0044378D"/>
    <w:rsid w:val="004438CB"/>
    <w:rsid w:val="00443D97"/>
    <w:rsid w:val="00444150"/>
    <w:rsid w:val="00444261"/>
    <w:rsid w:val="00444283"/>
    <w:rsid w:val="00444353"/>
    <w:rsid w:val="00444ADC"/>
    <w:rsid w:val="00444BE2"/>
    <w:rsid w:val="00444CAD"/>
    <w:rsid w:val="00444E6D"/>
    <w:rsid w:val="00444F56"/>
    <w:rsid w:val="00445109"/>
    <w:rsid w:val="00445408"/>
    <w:rsid w:val="0044585B"/>
    <w:rsid w:val="0044591F"/>
    <w:rsid w:val="004459C9"/>
    <w:rsid w:val="00445AAE"/>
    <w:rsid w:val="00445AC1"/>
    <w:rsid w:val="00445D96"/>
    <w:rsid w:val="00445F0B"/>
    <w:rsid w:val="00446105"/>
    <w:rsid w:val="004461E9"/>
    <w:rsid w:val="004465BD"/>
    <w:rsid w:val="00446878"/>
    <w:rsid w:val="00446B24"/>
    <w:rsid w:val="00446B6A"/>
    <w:rsid w:val="00446E66"/>
    <w:rsid w:val="00446FC0"/>
    <w:rsid w:val="0044739B"/>
    <w:rsid w:val="0044757F"/>
    <w:rsid w:val="00447867"/>
    <w:rsid w:val="00447893"/>
    <w:rsid w:val="004479DA"/>
    <w:rsid w:val="00447AA9"/>
    <w:rsid w:val="00447CB4"/>
    <w:rsid w:val="00447DE7"/>
    <w:rsid w:val="00447E1E"/>
    <w:rsid w:val="00447E32"/>
    <w:rsid w:val="004503BA"/>
    <w:rsid w:val="004503C6"/>
    <w:rsid w:val="004507FD"/>
    <w:rsid w:val="00450946"/>
    <w:rsid w:val="00450ABF"/>
    <w:rsid w:val="00450B17"/>
    <w:rsid w:val="00450C4E"/>
    <w:rsid w:val="00450F33"/>
    <w:rsid w:val="00451384"/>
    <w:rsid w:val="004513C5"/>
    <w:rsid w:val="004515FB"/>
    <w:rsid w:val="0045163D"/>
    <w:rsid w:val="004518A7"/>
    <w:rsid w:val="00451C9B"/>
    <w:rsid w:val="00451FBE"/>
    <w:rsid w:val="00452206"/>
    <w:rsid w:val="00452255"/>
    <w:rsid w:val="0045247C"/>
    <w:rsid w:val="004524B0"/>
    <w:rsid w:val="004524E0"/>
    <w:rsid w:val="00452689"/>
    <w:rsid w:val="004535D3"/>
    <w:rsid w:val="004535DB"/>
    <w:rsid w:val="00453C7D"/>
    <w:rsid w:val="00453F60"/>
    <w:rsid w:val="004542B9"/>
    <w:rsid w:val="004543EA"/>
    <w:rsid w:val="004545EC"/>
    <w:rsid w:val="004547D9"/>
    <w:rsid w:val="00454A45"/>
    <w:rsid w:val="00454D74"/>
    <w:rsid w:val="00454D84"/>
    <w:rsid w:val="00454E9F"/>
    <w:rsid w:val="00455117"/>
    <w:rsid w:val="0045538D"/>
    <w:rsid w:val="0045549D"/>
    <w:rsid w:val="00455609"/>
    <w:rsid w:val="004556B6"/>
    <w:rsid w:val="00455BDA"/>
    <w:rsid w:val="004560A0"/>
    <w:rsid w:val="0045610E"/>
    <w:rsid w:val="00456262"/>
    <w:rsid w:val="004564BC"/>
    <w:rsid w:val="00456E82"/>
    <w:rsid w:val="00457491"/>
    <w:rsid w:val="0045769B"/>
    <w:rsid w:val="004578F9"/>
    <w:rsid w:val="0045796E"/>
    <w:rsid w:val="00457979"/>
    <w:rsid w:val="00457D06"/>
    <w:rsid w:val="00457D87"/>
    <w:rsid w:val="004605E6"/>
    <w:rsid w:val="0046068F"/>
    <w:rsid w:val="004606BE"/>
    <w:rsid w:val="00460BAA"/>
    <w:rsid w:val="00460E86"/>
    <w:rsid w:val="00460F2E"/>
    <w:rsid w:val="00461123"/>
    <w:rsid w:val="004612AC"/>
    <w:rsid w:val="0046164A"/>
    <w:rsid w:val="004617F5"/>
    <w:rsid w:val="004619B3"/>
    <w:rsid w:val="00461C48"/>
    <w:rsid w:val="0046203D"/>
    <w:rsid w:val="004622E5"/>
    <w:rsid w:val="004629F0"/>
    <w:rsid w:val="00462CB5"/>
    <w:rsid w:val="00462E96"/>
    <w:rsid w:val="00462EA4"/>
    <w:rsid w:val="00462F7C"/>
    <w:rsid w:val="00463205"/>
    <w:rsid w:val="0046334A"/>
    <w:rsid w:val="00463755"/>
    <w:rsid w:val="004638AA"/>
    <w:rsid w:val="00463971"/>
    <w:rsid w:val="00463AE6"/>
    <w:rsid w:val="00463CF9"/>
    <w:rsid w:val="00464190"/>
    <w:rsid w:val="004647DA"/>
    <w:rsid w:val="00464A8A"/>
    <w:rsid w:val="00464B14"/>
    <w:rsid w:val="00464D87"/>
    <w:rsid w:val="00465456"/>
    <w:rsid w:val="00465629"/>
    <w:rsid w:val="00465829"/>
    <w:rsid w:val="00465C1E"/>
    <w:rsid w:val="00465E45"/>
    <w:rsid w:val="00465E9A"/>
    <w:rsid w:val="00465EB5"/>
    <w:rsid w:val="00465EC6"/>
    <w:rsid w:val="00466095"/>
    <w:rsid w:val="004665AF"/>
    <w:rsid w:val="004665CF"/>
    <w:rsid w:val="0046694F"/>
    <w:rsid w:val="00466B4D"/>
    <w:rsid w:val="00466FB7"/>
    <w:rsid w:val="00467512"/>
    <w:rsid w:val="004677D0"/>
    <w:rsid w:val="004678E5"/>
    <w:rsid w:val="004679B5"/>
    <w:rsid w:val="00467A1F"/>
    <w:rsid w:val="00467B7E"/>
    <w:rsid w:val="00467F74"/>
    <w:rsid w:val="004703E2"/>
    <w:rsid w:val="00470490"/>
    <w:rsid w:val="00470B1D"/>
    <w:rsid w:val="00470EE9"/>
    <w:rsid w:val="00471137"/>
    <w:rsid w:val="00471211"/>
    <w:rsid w:val="0047164C"/>
    <w:rsid w:val="00471B0D"/>
    <w:rsid w:val="00471EFA"/>
    <w:rsid w:val="00471F66"/>
    <w:rsid w:val="00471F7F"/>
    <w:rsid w:val="00471FBB"/>
    <w:rsid w:val="004720E3"/>
    <w:rsid w:val="004722B9"/>
    <w:rsid w:val="0047232A"/>
    <w:rsid w:val="004724A1"/>
    <w:rsid w:val="00472599"/>
    <w:rsid w:val="0047281E"/>
    <w:rsid w:val="004731C4"/>
    <w:rsid w:val="00473338"/>
    <w:rsid w:val="0047334B"/>
    <w:rsid w:val="0047439A"/>
    <w:rsid w:val="0047459F"/>
    <w:rsid w:val="004745E4"/>
    <w:rsid w:val="00474B70"/>
    <w:rsid w:val="00474BAB"/>
    <w:rsid w:val="00474D36"/>
    <w:rsid w:val="00474D67"/>
    <w:rsid w:val="00474D99"/>
    <w:rsid w:val="00474DD3"/>
    <w:rsid w:val="00474DF3"/>
    <w:rsid w:val="0047537B"/>
    <w:rsid w:val="004753CE"/>
    <w:rsid w:val="00475404"/>
    <w:rsid w:val="004754C1"/>
    <w:rsid w:val="004756D2"/>
    <w:rsid w:val="0047591E"/>
    <w:rsid w:val="00475A09"/>
    <w:rsid w:val="00475CA4"/>
    <w:rsid w:val="00475EA2"/>
    <w:rsid w:val="00476190"/>
    <w:rsid w:val="0047683E"/>
    <w:rsid w:val="00476857"/>
    <w:rsid w:val="0047692F"/>
    <w:rsid w:val="00476A2A"/>
    <w:rsid w:val="00476B3C"/>
    <w:rsid w:val="00477147"/>
    <w:rsid w:val="004771A4"/>
    <w:rsid w:val="0047735F"/>
    <w:rsid w:val="00477815"/>
    <w:rsid w:val="00477B52"/>
    <w:rsid w:val="00477CE7"/>
    <w:rsid w:val="00477DCC"/>
    <w:rsid w:val="00477F38"/>
    <w:rsid w:val="004802CF"/>
    <w:rsid w:val="004805F1"/>
    <w:rsid w:val="00480617"/>
    <w:rsid w:val="00480648"/>
    <w:rsid w:val="00480693"/>
    <w:rsid w:val="0048076A"/>
    <w:rsid w:val="00480865"/>
    <w:rsid w:val="00480BB2"/>
    <w:rsid w:val="00480EC1"/>
    <w:rsid w:val="00481D54"/>
    <w:rsid w:val="00482469"/>
    <w:rsid w:val="00482824"/>
    <w:rsid w:val="00482871"/>
    <w:rsid w:val="00482AF7"/>
    <w:rsid w:val="00482B3A"/>
    <w:rsid w:val="00482B3C"/>
    <w:rsid w:val="00482D83"/>
    <w:rsid w:val="00482DB9"/>
    <w:rsid w:val="00483013"/>
    <w:rsid w:val="00483152"/>
    <w:rsid w:val="004831E6"/>
    <w:rsid w:val="00483402"/>
    <w:rsid w:val="0048348F"/>
    <w:rsid w:val="00483506"/>
    <w:rsid w:val="004835CB"/>
    <w:rsid w:val="0048381C"/>
    <w:rsid w:val="00483874"/>
    <w:rsid w:val="00483DB1"/>
    <w:rsid w:val="00483DF0"/>
    <w:rsid w:val="00484165"/>
    <w:rsid w:val="0048439B"/>
    <w:rsid w:val="0048450D"/>
    <w:rsid w:val="00484836"/>
    <w:rsid w:val="0048489F"/>
    <w:rsid w:val="00484B84"/>
    <w:rsid w:val="00484CC3"/>
    <w:rsid w:val="004850A7"/>
    <w:rsid w:val="004850B8"/>
    <w:rsid w:val="004851A1"/>
    <w:rsid w:val="004851EF"/>
    <w:rsid w:val="0048573A"/>
    <w:rsid w:val="00485AA5"/>
    <w:rsid w:val="00485ACB"/>
    <w:rsid w:val="00485C67"/>
    <w:rsid w:val="0048600C"/>
    <w:rsid w:val="004861CE"/>
    <w:rsid w:val="00486D98"/>
    <w:rsid w:val="004878EF"/>
    <w:rsid w:val="00487B75"/>
    <w:rsid w:val="00487E9B"/>
    <w:rsid w:val="00490346"/>
    <w:rsid w:val="00490530"/>
    <w:rsid w:val="00490F6E"/>
    <w:rsid w:val="0049102C"/>
    <w:rsid w:val="004910F4"/>
    <w:rsid w:val="00491277"/>
    <w:rsid w:val="004918BC"/>
    <w:rsid w:val="00491D0E"/>
    <w:rsid w:val="0049228C"/>
    <w:rsid w:val="004923D5"/>
    <w:rsid w:val="004923F5"/>
    <w:rsid w:val="004924DB"/>
    <w:rsid w:val="00492B4A"/>
    <w:rsid w:val="00492DA6"/>
    <w:rsid w:val="00492E7E"/>
    <w:rsid w:val="00493484"/>
    <w:rsid w:val="00493499"/>
    <w:rsid w:val="004935A6"/>
    <w:rsid w:val="00493744"/>
    <w:rsid w:val="00493933"/>
    <w:rsid w:val="00493A9D"/>
    <w:rsid w:val="00493F01"/>
    <w:rsid w:val="004942F3"/>
    <w:rsid w:val="0049431C"/>
    <w:rsid w:val="0049453F"/>
    <w:rsid w:val="00494572"/>
    <w:rsid w:val="004945A0"/>
    <w:rsid w:val="0049474D"/>
    <w:rsid w:val="00494926"/>
    <w:rsid w:val="00494C5B"/>
    <w:rsid w:val="00494FD0"/>
    <w:rsid w:val="00494FE5"/>
    <w:rsid w:val="00495556"/>
    <w:rsid w:val="004955AC"/>
    <w:rsid w:val="00495DCF"/>
    <w:rsid w:val="00495F22"/>
    <w:rsid w:val="00495F86"/>
    <w:rsid w:val="004963FB"/>
    <w:rsid w:val="00496547"/>
    <w:rsid w:val="00496685"/>
    <w:rsid w:val="00496A72"/>
    <w:rsid w:val="00496E3C"/>
    <w:rsid w:val="00496E40"/>
    <w:rsid w:val="00496F3D"/>
    <w:rsid w:val="004971A7"/>
    <w:rsid w:val="004971E4"/>
    <w:rsid w:val="0049759B"/>
    <w:rsid w:val="00497887"/>
    <w:rsid w:val="00497A48"/>
    <w:rsid w:val="00497E0C"/>
    <w:rsid w:val="00497E5F"/>
    <w:rsid w:val="004A0047"/>
    <w:rsid w:val="004A0179"/>
    <w:rsid w:val="004A01EA"/>
    <w:rsid w:val="004A020A"/>
    <w:rsid w:val="004A0402"/>
    <w:rsid w:val="004A087C"/>
    <w:rsid w:val="004A0E12"/>
    <w:rsid w:val="004A1080"/>
    <w:rsid w:val="004A13EF"/>
    <w:rsid w:val="004A1674"/>
    <w:rsid w:val="004A183E"/>
    <w:rsid w:val="004A1969"/>
    <w:rsid w:val="004A1B22"/>
    <w:rsid w:val="004A1B56"/>
    <w:rsid w:val="004A1BD9"/>
    <w:rsid w:val="004A1D98"/>
    <w:rsid w:val="004A1FA1"/>
    <w:rsid w:val="004A2236"/>
    <w:rsid w:val="004A22A4"/>
    <w:rsid w:val="004A2746"/>
    <w:rsid w:val="004A3014"/>
    <w:rsid w:val="004A3475"/>
    <w:rsid w:val="004A3587"/>
    <w:rsid w:val="004A3879"/>
    <w:rsid w:val="004A3C84"/>
    <w:rsid w:val="004A3EDE"/>
    <w:rsid w:val="004A4621"/>
    <w:rsid w:val="004A49D7"/>
    <w:rsid w:val="004A4AF6"/>
    <w:rsid w:val="004A4FE9"/>
    <w:rsid w:val="004A509F"/>
    <w:rsid w:val="004A5152"/>
    <w:rsid w:val="004A55D1"/>
    <w:rsid w:val="004A55ED"/>
    <w:rsid w:val="004A5AAD"/>
    <w:rsid w:val="004A5B46"/>
    <w:rsid w:val="004A6341"/>
    <w:rsid w:val="004A6B60"/>
    <w:rsid w:val="004A6D71"/>
    <w:rsid w:val="004A72FC"/>
    <w:rsid w:val="004A78E7"/>
    <w:rsid w:val="004A7D2B"/>
    <w:rsid w:val="004B0018"/>
    <w:rsid w:val="004B00E5"/>
    <w:rsid w:val="004B01E7"/>
    <w:rsid w:val="004B02C1"/>
    <w:rsid w:val="004B03C2"/>
    <w:rsid w:val="004B0A6B"/>
    <w:rsid w:val="004B0A80"/>
    <w:rsid w:val="004B0ABF"/>
    <w:rsid w:val="004B0F09"/>
    <w:rsid w:val="004B1185"/>
    <w:rsid w:val="004B1434"/>
    <w:rsid w:val="004B15F7"/>
    <w:rsid w:val="004B1984"/>
    <w:rsid w:val="004B1C37"/>
    <w:rsid w:val="004B1D31"/>
    <w:rsid w:val="004B1E28"/>
    <w:rsid w:val="004B2656"/>
    <w:rsid w:val="004B2E29"/>
    <w:rsid w:val="004B317F"/>
    <w:rsid w:val="004B3A62"/>
    <w:rsid w:val="004B3B76"/>
    <w:rsid w:val="004B3BBF"/>
    <w:rsid w:val="004B3CE2"/>
    <w:rsid w:val="004B3D44"/>
    <w:rsid w:val="004B3FF5"/>
    <w:rsid w:val="004B423E"/>
    <w:rsid w:val="004B42B5"/>
    <w:rsid w:val="004B4962"/>
    <w:rsid w:val="004B4C75"/>
    <w:rsid w:val="004B4F5D"/>
    <w:rsid w:val="004B4FC8"/>
    <w:rsid w:val="004B5155"/>
    <w:rsid w:val="004B5694"/>
    <w:rsid w:val="004B5F76"/>
    <w:rsid w:val="004B61C5"/>
    <w:rsid w:val="004B6372"/>
    <w:rsid w:val="004B6553"/>
    <w:rsid w:val="004B68C4"/>
    <w:rsid w:val="004B6BF1"/>
    <w:rsid w:val="004B6D11"/>
    <w:rsid w:val="004B7089"/>
    <w:rsid w:val="004B71BE"/>
    <w:rsid w:val="004B7375"/>
    <w:rsid w:val="004B76B3"/>
    <w:rsid w:val="004B7967"/>
    <w:rsid w:val="004B7A86"/>
    <w:rsid w:val="004B7B2B"/>
    <w:rsid w:val="004B7E2F"/>
    <w:rsid w:val="004C026B"/>
    <w:rsid w:val="004C040D"/>
    <w:rsid w:val="004C05CF"/>
    <w:rsid w:val="004C0A80"/>
    <w:rsid w:val="004C0DD3"/>
    <w:rsid w:val="004C0EB5"/>
    <w:rsid w:val="004C1008"/>
    <w:rsid w:val="004C102D"/>
    <w:rsid w:val="004C134E"/>
    <w:rsid w:val="004C13ED"/>
    <w:rsid w:val="004C18EE"/>
    <w:rsid w:val="004C1B86"/>
    <w:rsid w:val="004C1DF8"/>
    <w:rsid w:val="004C2182"/>
    <w:rsid w:val="004C22C6"/>
    <w:rsid w:val="004C27B0"/>
    <w:rsid w:val="004C2AC4"/>
    <w:rsid w:val="004C2B97"/>
    <w:rsid w:val="004C2C8B"/>
    <w:rsid w:val="004C2F11"/>
    <w:rsid w:val="004C31B4"/>
    <w:rsid w:val="004C31CD"/>
    <w:rsid w:val="004C3464"/>
    <w:rsid w:val="004C34D9"/>
    <w:rsid w:val="004C3605"/>
    <w:rsid w:val="004C371F"/>
    <w:rsid w:val="004C37E1"/>
    <w:rsid w:val="004C3D22"/>
    <w:rsid w:val="004C3F3F"/>
    <w:rsid w:val="004C4953"/>
    <w:rsid w:val="004C4C97"/>
    <w:rsid w:val="004C4CEA"/>
    <w:rsid w:val="004C51A4"/>
    <w:rsid w:val="004C539F"/>
    <w:rsid w:val="004C548A"/>
    <w:rsid w:val="004C5768"/>
    <w:rsid w:val="004C5BA7"/>
    <w:rsid w:val="004C5C9F"/>
    <w:rsid w:val="004C5CD9"/>
    <w:rsid w:val="004C60A2"/>
    <w:rsid w:val="004C6120"/>
    <w:rsid w:val="004C63ED"/>
    <w:rsid w:val="004C64EA"/>
    <w:rsid w:val="004C653F"/>
    <w:rsid w:val="004C6576"/>
    <w:rsid w:val="004C67BF"/>
    <w:rsid w:val="004C6C9E"/>
    <w:rsid w:val="004C719B"/>
    <w:rsid w:val="004C7428"/>
    <w:rsid w:val="004C75B3"/>
    <w:rsid w:val="004C7D2A"/>
    <w:rsid w:val="004D00BD"/>
    <w:rsid w:val="004D0567"/>
    <w:rsid w:val="004D0A88"/>
    <w:rsid w:val="004D10AD"/>
    <w:rsid w:val="004D10D3"/>
    <w:rsid w:val="004D1216"/>
    <w:rsid w:val="004D1556"/>
    <w:rsid w:val="004D1841"/>
    <w:rsid w:val="004D1A59"/>
    <w:rsid w:val="004D1ACF"/>
    <w:rsid w:val="004D1EFE"/>
    <w:rsid w:val="004D2026"/>
    <w:rsid w:val="004D2311"/>
    <w:rsid w:val="004D2BE5"/>
    <w:rsid w:val="004D2C6A"/>
    <w:rsid w:val="004D2F76"/>
    <w:rsid w:val="004D2FC1"/>
    <w:rsid w:val="004D2FF6"/>
    <w:rsid w:val="004D3251"/>
    <w:rsid w:val="004D3A50"/>
    <w:rsid w:val="004D3DF0"/>
    <w:rsid w:val="004D3E7D"/>
    <w:rsid w:val="004D4320"/>
    <w:rsid w:val="004D47BD"/>
    <w:rsid w:val="004D48F9"/>
    <w:rsid w:val="004D4C23"/>
    <w:rsid w:val="004D4CB7"/>
    <w:rsid w:val="004D4D5D"/>
    <w:rsid w:val="004D50AA"/>
    <w:rsid w:val="004D5151"/>
    <w:rsid w:val="004D51C3"/>
    <w:rsid w:val="004D5319"/>
    <w:rsid w:val="004D5424"/>
    <w:rsid w:val="004D55C6"/>
    <w:rsid w:val="004D5812"/>
    <w:rsid w:val="004D5B9B"/>
    <w:rsid w:val="004D628B"/>
    <w:rsid w:val="004D62F9"/>
    <w:rsid w:val="004D643D"/>
    <w:rsid w:val="004D66C8"/>
    <w:rsid w:val="004D6FDD"/>
    <w:rsid w:val="004D7736"/>
    <w:rsid w:val="004D7F20"/>
    <w:rsid w:val="004E0149"/>
    <w:rsid w:val="004E01CF"/>
    <w:rsid w:val="004E0466"/>
    <w:rsid w:val="004E0555"/>
    <w:rsid w:val="004E06A7"/>
    <w:rsid w:val="004E0877"/>
    <w:rsid w:val="004E0C79"/>
    <w:rsid w:val="004E0E07"/>
    <w:rsid w:val="004E0E11"/>
    <w:rsid w:val="004E12AD"/>
    <w:rsid w:val="004E12CE"/>
    <w:rsid w:val="004E1466"/>
    <w:rsid w:val="004E14C1"/>
    <w:rsid w:val="004E1633"/>
    <w:rsid w:val="004E1644"/>
    <w:rsid w:val="004E171D"/>
    <w:rsid w:val="004E1F51"/>
    <w:rsid w:val="004E23C8"/>
    <w:rsid w:val="004E2A9C"/>
    <w:rsid w:val="004E2B6E"/>
    <w:rsid w:val="004E2B70"/>
    <w:rsid w:val="004E2C05"/>
    <w:rsid w:val="004E2C29"/>
    <w:rsid w:val="004E3335"/>
    <w:rsid w:val="004E33B0"/>
    <w:rsid w:val="004E3688"/>
    <w:rsid w:val="004E3B28"/>
    <w:rsid w:val="004E4589"/>
    <w:rsid w:val="004E46D0"/>
    <w:rsid w:val="004E492E"/>
    <w:rsid w:val="004E4AB9"/>
    <w:rsid w:val="004E4D77"/>
    <w:rsid w:val="004E4DA3"/>
    <w:rsid w:val="004E4F45"/>
    <w:rsid w:val="004E57D9"/>
    <w:rsid w:val="004E5CD4"/>
    <w:rsid w:val="004E5D69"/>
    <w:rsid w:val="004E5FAD"/>
    <w:rsid w:val="004E608F"/>
    <w:rsid w:val="004E6236"/>
    <w:rsid w:val="004E6386"/>
    <w:rsid w:val="004E6906"/>
    <w:rsid w:val="004E6C25"/>
    <w:rsid w:val="004E6DCA"/>
    <w:rsid w:val="004E6F7D"/>
    <w:rsid w:val="004E7097"/>
    <w:rsid w:val="004E7900"/>
    <w:rsid w:val="004E7CB4"/>
    <w:rsid w:val="004E7D39"/>
    <w:rsid w:val="004E7F9C"/>
    <w:rsid w:val="004F0249"/>
    <w:rsid w:val="004F024F"/>
    <w:rsid w:val="004F036C"/>
    <w:rsid w:val="004F05C7"/>
    <w:rsid w:val="004F0608"/>
    <w:rsid w:val="004F07A6"/>
    <w:rsid w:val="004F082A"/>
    <w:rsid w:val="004F0A14"/>
    <w:rsid w:val="004F129E"/>
    <w:rsid w:val="004F1876"/>
    <w:rsid w:val="004F2468"/>
    <w:rsid w:val="004F260F"/>
    <w:rsid w:val="004F2A36"/>
    <w:rsid w:val="004F2B12"/>
    <w:rsid w:val="004F2BBC"/>
    <w:rsid w:val="004F30C0"/>
    <w:rsid w:val="004F31A0"/>
    <w:rsid w:val="004F34D8"/>
    <w:rsid w:val="004F36C5"/>
    <w:rsid w:val="004F36E6"/>
    <w:rsid w:val="004F38F1"/>
    <w:rsid w:val="004F3F50"/>
    <w:rsid w:val="004F408C"/>
    <w:rsid w:val="004F430F"/>
    <w:rsid w:val="004F45DB"/>
    <w:rsid w:val="004F4B7F"/>
    <w:rsid w:val="004F4F72"/>
    <w:rsid w:val="004F504F"/>
    <w:rsid w:val="004F534D"/>
    <w:rsid w:val="004F5572"/>
    <w:rsid w:val="004F5863"/>
    <w:rsid w:val="004F5875"/>
    <w:rsid w:val="004F5D27"/>
    <w:rsid w:val="004F5D43"/>
    <w:rsid w:val="004F611A"/>
    <w:rsid w:val="004F613B"/>
    <w:rsid w:val="004F638B"/>
    <w:rsid w:val="004F63AA"/>
    <w:rsid w:val="004F648F"/>
    <w:rsid w:val="004F67DC"/>
    <w:rsid w:val="004F6916"/>
    <w:rsid w:val="004F6E68"/>
    <w:rsid w:val="004F7043"/>
    <w:rsid w:val="004F71B6"/>
    <w:rsid w:val="004F733C"/>
    <w:rsid w:val="004F7581"/>
    <w:rsid w:val="004F7CB7"/>
    <w:rsid w:val="0050025E"/>
    <w:rsid w:val="005002A7"/>
    <w:rsid w:val="005003FB"/>
    <w:rsid w:val="0050054A"/>
    <w:rsid w:val="00500710"/>
    <w:rsid w:val="00500749"/>
    <w:rsid w:val="00500D52"/>
    <w:rsid w:val="00500FB7"/>
    <w:rsid w:val="00501778"/>
    <w:rsid w:val="0050178D"/>
    <w:rsid w:val="0050196F"/>
    <w:rsid w:val="00501975"/>
    <w:rsid w:val="00501A7B"/>
    <w:rsid w:val="00501D5F"/>
    <w:rsid w:val="00502189"/>
    <w:rsid w:val="005022AE"/>
    <w:rsid w:val="00502CCD"/>
    <w:rsid w:val="00502E77"/>
    <w:rsid w:val="00502F51"/>
    <w:rsid w:val="0050318E"/>
    <w:rsid w:val="00503291"/>
    <w:rsid w:val="00503861"/>
    <w:rsid w:val="00503A6E"/>
    <w:rsid w:val="00503C0C"/>
    <w:rsid w:val="005043FC"/>
    <w:rsid w:val="00504747"/>
    <w:rsid w:val="00504C43"/>
    <w:rsid w:val="00505022"/>
    <w:rsid w:val="0050505B"/>
    <w:rsid w:val="00505462"/>
    <w:rsid w:val="0050565C"/>
    <w:rsid w:val="00505663"/>
    <w:rsid w:val="00505A0E"/>
    <w:rsid w:val="00505A7B"/>
    <w:rsid w:val="00505D65"/>
    <w:rsid w:val="00506075"/>
    <w:rsid w:val="0050610E"/>
    <w:rsid w:val="00506405"/>
    <w:rsid w:val="0050646D"/>
    <w:rsid w:val="00506654"/>
    <w:rsid w:val="0050691B"/>
    <w:rsid w:val="00506A4D"/>
    <w:rsid w:val="00506B64"/>
    <w:rsid w:val="00506FDE"/>
    <w:rsid w:val="0050734B"/>
    <w:rsid w:val="005073B2"/>
    <w:rsid w:val="005073F3"/>
    <w:rsid w:val="00507858"/>
    <w:rsid w:val="005078ED"/>
    <w:rsid w:val="00510165"/>
    <w:rsid w:val="00510486"/>
    <w:rsid w:val="005109F8"/>
    <w:rsid w:val="00510A01"/>
    <w:rsid w:val="00510C54"/>
    <w:rsid w:val="00511172"/>
    <w:rsid w:val="00511338"/>
    <w:rsid w:val="00511C19"/>
    <w:rsid w:val="00511D7D"/>
    <w:rsid w:val="00511F07"/>
    <w:rsid w:val="005122E8"/>
    <w:rsid w:val="00512509"/>
    <w:rsid w:val="00512D17"/>
    <w:rsid w:val="00512D1B"/>
    <w:rsid w:val="005135AF"/>
    <w:rsid w:val="00513788"/>
    <w:rsid w:val="005138EA"/>
    <w:rsid w:val="00513E23"/>
    <w:rsid w:val="00513FCB"/>
    <w:rsid w:val="00514047"/>
    <w:rsid w:val="00514289"/>
    <w:rsid w:val="00514784"/>
    <w:rsid w:val="005147F2"/>
    <w:rsid w:val="00514A39"/>
    <w:rsid w:val="00514ECC"/>
    <w:rsid w:val="00514F4E"/>
    <w:rsid w:val="00514FE0"/>
    <w:rsid w:val="00515110"/>
    <w:rsid w:val="00515238"/>
    <w:rsid w:val="005153E4"/>
    <w:rsid w:val="00515436"/>
    <w:rsid w:val="005155A3"/>
    <w:rsid w:val="00515607"/>
    <w:rsid w:val="00515C84"/>
    <w:rsid w:val="0051632B"/>
    <w:rsid w:val="0051633E"/>
    <w:rsid w:val="00516487"/>
    <w:rsid w:val="00516599"/>
    <w:rsid w:val="0051674C"/>
    <w:rsid w:val="005167EB"/>
    <w:rsid w:val="00516A3A"/>
    <w:rsid w:val="00517042"/>
    <w:rsid w:val="00517178"/>
    <w:rsid w:val="005171BA"/>
    <w:rsid w:val="00517270"/>
    <w:rsid w:val="005172D5"/>
    <w:rsid w:val="005173CD"/>
    <w:rsid w:val="005174C5"/>
    <w:rsid w:val="005177DC"/>
    <w:rsid w:val="0051782A"/>
    <w:rsid w:val="00517AE0"/>
    <w:rsid w:val="00517EA9"/>
    <w:rsid w:val="005206AD"/>
    <w:rsid w:val="00520801"/>
    <w:rsid w:val="00520C48"/>
    <w:rsid w:val="00520D75"/>
    <w:rsid w:val="00520DF4"/>
    <w:rsid w:val="00520F08"/>
    <w:rsid w:val="00520F20"/>
    <w:rsid w:val="005219DA"/>
    <w:rsid w:val="00521C82"/>
    <w:rsid w:val="00521DB1"/>
    <w:rsid w:val="00521F1E"/>
    <w:rsid w:val="00521F51"/>
    <w:rsid w:val="0052240B"/>
    <w:rsid w:val="0052271F"/>
    <w:rsid w:val="00522CDA"/>
    <w:rsid w:val="00522FD9"/>
    <w:rsid w:val="0052320C"/>
    <w:rsid w:val="005235E6"/>
    <w:rsid w:val="00524341"/>
    <w:rsid w:val="0052453D"/>
    <w:rsid w:val="00524784"/>
    <w:rsid w:val="0052486D"/>
    <w:rsid w:val="005248CE"/>
    <w:rsid w:val="00524AF8"/>
    <w:rsid w:val="005250A9"/>
    <w:rsid w:val="00525483"/>
    <w:rsid w:val="005257D7"/>
    <w:rsid w:val="00526416"/>
    <w:rsid w:val="0052644F"/>
    <w:rsid w:val="0052654F"/>
    <w:rsid w:val="005265F1"/>
    <w:rsid w:val="00526D80"/>
    <w:rsid w:val="00526F79"/>
    <w:rsid w:val="0052701B"/>
    <w:rsid w:val="0052717A"/>
    <w:rsid w:val="00527471"/>
    <w:rsid w:val="0052758A"/>
    <w:rsid w:val="005276D6"/>
    <w:rsid w:val="00527705"/>
    <w:rsid w:val="00527A3D"/>
    <w:rsid w:val="00530A60"/>
    <w:rsid w:val="00530C43"/>
    <w:rsid w:val="00530C86"/>
    <w:rsid w:val="00530D4C"/>
    <w:rsid w:val="005311A4"/>
    <w:rsid w:val="005313BA"/>
    <w:rsid w:val="00531F1C"/>
    <w:rsid w:val="00532088"/>
    <w:rsid w:val="0053209A"/>
    <w:rsid w:val="00532150"/>
    <w:rsid w:val="00532432"/>
    <w:rsid w:val="005324B4"/>
    <w:rsid w:val="005325D2"/>
    <w:rsid w:val="00532744"/>
    <w:rsid w:val="00532887"/>
    <w:rsid w:val="005329A4"/>
    <w:rsid w:val="00532D82"/>
    <w:rsid w:val="00532DE8"/>
    <w:rsid w:val="00532E71"/>
    <w:rsid w:val="00532EFD"/>
    <w:rsid w:val="00533084"/>
    <w:rsid w:val="0053314F"/>
    <w:rsid w:val="005331EA"/>
    <w:rsid w:val="005332B8"/>
    <w:rsid w:val="005332D0"/>
    <w:rsid w:val="00533CA3"/>
    <w:rsid w:val="00533D42"/>
    <w:rsid w:val="00533EBD"/>
    <w:rsid w:val="00534080"/>
    <w:rsid w:val="0053408C"/>
    <w:rsid w:val="00534126"/>
    <w:rsid w:val="00534724"/>
    <w:rsid w:val="00534A4A"/>
    <w:rsid w:val="00534AB4"/>
    <w:rsid w:val="00534AC1"/>
    <w:rsid w:val="00534B9D"/>
    <w:rsid w:val="00534EBA"/>
    <w:rsid w:val="0053568C"/>
    <w:rsid w:val="005358D2"/>
    <w:rsid w:val="00535A2E"/>
    <w:rsid w:val="00535B19"/>
    <w:rsid w:val="00535B8E"/>
    <w:rsid w:val="00535F55"/>
    <w:rsid w:val="00535F6A"/>
    <w:rsid w:val="00536377"/>
    <w:rsid w:val="00536474"/>
    <w:rsid w:val="005365C9"/>
    <w:rsid w:val="00536C5B"/>
    <w:rsid w:val="00536DFF"/>
    <w:rsid w:val="0053723F"/>
    <w:rsid w:val="005373CB"/>
    <w:rsid w:val="00537743"/>
    <w:rsid w:val="00537798"/>
    <w:rsid w:val="005378E2"/>
    <w:rsid w:val="00537AA4"/>
    <w:rsid w:val="00537E5C"/>
    <w:rsid w:val="005400D2"/>
    <w:rsid w:val="0054031B"/>
    <w:rsid w:val="00540BE7"/>
    <w:rsid w:val="00540C4B"/>
    <w:rsid w:val="00540E31"/>
    <w:rsid w:val="00540FCA"/>
    <w:rsid w:val="00541973"/>
    <w:rsid w:val="00541C2A"/>
    <w:rsid w:val="00541DF1"/>
    <w:rsid w:val="00541F08"/>
    <w:rsid w:val="0054202A"/>
    <w:rsid w:val="00542161"/>
    <w:rsid w:val="00542188"/>
    <w:rsid w:val="005427BC"/>
    <w:rsid w:val="00542B47"/>
    <w:rsid w:val="00542D52"/>
    <w:rsid w:val="00542FBC"/>
    <w:rsid w:val="00543019"/>
    <w:rsid w:val="005430DF"/>
    <w:rsid w:val="0054324E"/>
    <w:rsid w:val="0054325C"/>
    <w:rsid w:val="005433E0"/>
    <w:rsid w:val="005437F3"/>
    <w:rsid w:val="00543B4F"/>
    <w:rsid w:val="00543BC0"/>
    <w:rsid w:val="00543BC3"/>
    <w:rsid w:val="00543C25"/>
    <w:rsid w:val="00543C78"/>
    <w:rsid w:val="0054414D"/>
    <w:rsid w:val="0054442A"/>
    <w:rsid w:val="0054457B"/>
    <w:rsid w:val="005446F8"/>
    <w:rsid w:val="0054472A"/>
    <w:rsid w:val="005447A4"/>
    <w:rsid w:val="0054491D"/>
    <w:rsid w:val="00544ADF"/>
    <w:rsid w:val="00544B5E"/>
    <w:rsid w:val="00544D7E"/>
    <w:rsid w:val="00544DC9"/>
    <w:rsid w:val="00544EB9"/>
    <w:rsid w:val="00544FD1"/>
    <w:rsid w:val="00545AF1"/>
    <w:rsid w:val="00545BF7"/>
    <w:rsid w:val="00545C94"/>
    <w:rsid w:val="00545DC7"/>
    <w:rsid w:val="00546941"/>
    <w:rsid w:val="0054697A"/>
    <w:rsid w:val="00546A6F"/>
    <w:rsid w:val="00546D30"/>
    <w:rsid w:val="00546D3E"/>
    <w:rsid w:val="00546EB6"/>
    <w:rsid w:val="00547026"/>
    <w:rsid w:val="0054709B"/>
    <w:rsid w:val="00547169"/>
    <w:rsid w:val="00547484"/>
    <w:rsid w:val="005474A1"/>
    <w:rsid w:val="00547600"/>
    <w:rsid w:val="005476A4"/>
    <w:rsid w:val="005478CD"/>
    <w:rsid w:val="0054791C"/>
    <w:rsid w:val="00547B9B"/>
    <w:rsid w:val="00547BBF"/>
    <w:rsid w:val="00547C59"/>
    <w:rsid w:val="00547F94"/>
    <w:rsid w:val="00550031"/>
    <w:rsid w:val="0055023B"/>
    <w:rsid w:val="005504FE"/>
    <w:rsid w:val="00550559"/>
    <w:rsid w:val="00550644"/>
    <w:rsid w:val="00550741"/>
    <w:rsid w:val="00550788"/>
    <w:rsid w:val="00550969"/>
    <w:rsid w:val="00550A58"/>
    <w:rsid w:val="00550B49"/>
    <w:rsid w:val="00550B50"/>
    <w:rsid w:val="00550EB9"/>
    <w:rsid w:val="00550EE4"/>
    <w:rsid w:val="00551718"/>
    <w:rsid w:val="00551A34"/>
    <w:rsid w:val="00551DA6"/>
    <w:rsid w:val="00551E26"/>
    <w:rsid w:val="00551ED5"/>
    <w:rsid w:val="00551F43"/>
    <w:rsid w:val="0055225E"/>
    <w:rsid w:val="0055228F"/>
    <w:rsid w:val="005527E1"/>
    <w:rsid w:val="005532ED"/>
    <w:rsid w:val="00553A7A"/>
    <w:rsid w:val="00553AD4"/>
    <w:rsid w:val="00553C67"/>
    <w:rsid w:val="00553CFC"/>
    <w:rsid w:val="00553EA4"/>
    <w:rsid w:val="00554A12"/>
    <w:rsid w:val="00554CB4"/>
    <w:rsid w:val="00554FC7"/>
    <w:rsid w:val="0055531A"/>
    <w:rsid w:val="005555AF"/>
    <w:rsid w:val="0055564E"/>
    <w:rsid w:val="00555721"/>
    <w:rsid w:val="00555846"/>
    <w:rsid w:val="00555CE1"/>
    <w:rsid w:val="00555D56"/>
    <w:rsid w:val="00555F51"/>
    <w:rsid w:val="00556051"/>
    <w:rsid w:val="0055653A"/>
    <w:rsid w:val="005566F6"/>
    <w:rsid w:val="0055690A"/>
    <w:rsid w:val="00556DDF"/>
    <w:rsid w:val="005570CF"/>
    <w:rsid w:val="0055715E"/>
    <w:rsid w:val="0055718C"/>
    <w:rsid w:val="00557246"/>
    <w:rsid w:val="00557769"/>
    <w:rsid w:val="00557840"/>
    <w:rsid w:val="00557C6B"/>
    <w:rsid w:val="00557CF6"/>
    <w:rsid w:val="00557D77"/>
    <w:rsid w:val="0056066F"/>
    <w:rsid w:val="00560D66"/>
    <w:rsid w:val="00560EAA"/>
    <w:rsid w:val="005610C2"/>
    <w:rsid w:val="00561967"/>
    <w:rsid w:val="00561C4E"/>
    <w:rsid w:val="00561DF4"/>
    <w:rsid w:val="00561E26"/>
    <w:rsid w:val="00561ED3"/>
    <w:rsid w:val="00561EE2"/>
    <w:rsid w:val="00562686"/>
    <w:rsid w:val="00562E15"/>
    <w:rsid w:val="00563078"/>
    <w:rsid w:val="005630A1"/>
    <w:rsid w:val="005637D3"/>
    <w:rsid w:val="005637DF"/>
    <w:rsid w:val="00563B31"/>
    <w:rsid w:val="00563DBB"/>
    <w:rsid w:val="005641CA"/>
    <w:rsid w:val="0056437A"/>
    <w:rsid w:val="00564504"/>
    <w:rsid w:val="00564883"/>
    <w:rsid w:val="00564916"/>
    <w:rsid w:val="00564AFE"/>
    <w:rsid w:val="00564BE8"/>
    <w:rsid w:val="00564D6D"/>
    <w:rsid w:val="00564DE2"/>
    <w:rsid w:val="00564F7A"/>
    <w:rsid w:val="00565153"/>
    <w:rsid w:val="00565345"/>
    <w:rsid w:val="005656BC"/>
    <w:rsid w:val="00565735"/>
    <w:rsid w:val="00565845"/>
    <w:rsid w:val="005659DB"/>
    <w:rsid w:val="00565C62"/>
    <w:rsid w:val="00565C77"/>
    <w:rsid w:val="00565FE0"/>
    <w:rsid w:val="005668A9"/>
    <w:rsid w:val="00566A75"/>
    <w:rsid w:val="005673D8"/>
    <w:rsid w:val="00567585"/>
    <w:rsid w:val="00567913"/>
    <w:rsid w:val="00567A1E"/>
    <w:rsid w:val="00567BA4"/>
    <w:rsid w:val="00567FCE"/>
    <w:rsid w:val="0057006B"/>
    <w:rsid w:val="005705BF"/>
    <w:rsid w:val="00570765"/>
    <w:rsid w:val="00570843"/>
    <w:rsid w:val="00570944"/>
    <w:rsid w:val="00570C8B"/>
    <w:rsid w:val="00571074"/>
    <w:rsid w:val="00571799"/>
    <w:rsid w:val="00571C56"/>
    <w:rsid w:val="00571F2B"/>
    <w:rsid w:val="00571F7A"/>
    <w:rsid w:val="00572246"/>
    <w:rsid w:val="005722BB"/>
    <w:rsid w:val="0057387B"/>
    <w:rsid w:val="00573D84"/>
    <w:rsid w:val="00573EA1"/>
    <w:rsid w:val="00573F40"/>
    <w:rsid w:val="00573F59"/>
    <w:rsid w:val="00574039"/>
    <w:rsid w:val="00574325"/>
    <w:rsid w:val="0057443A"/>
    <w:rsid w:val="005746DF"/>
    <w:rsid w:val="005747F3"/>
    <w:rsid w:val="00574A96"/>
    <w:rsid w:val="00574C78"/>
    <w:rsid w:val="00575073"/>
    <w:rsid w:val="00575344"/>
    <w:rsid w:val="005753A5"/>
    <w:rsid w:val="00575BB6"/>
    <w:rsid w:val="00575DE1"/>
    <w:rsid w:val="00575F7D"/>
    <w:rsid w:val="00576035"/>
    <w:rsid w:val="005761A8"/>
    <w:rsid w:val="0057627D"/>
    <w:rsid w:val="005765A5"/>
    <w:rsid w:val="005767D7"/>
    <w:rsid w:val="00576982"/>
    <w:rsid w:val="005769DD"/>
    <w:rsid w:val="00576D82"/>
    <w:rsid w:val="005775DC"/>
    <w:rsid w:val="00577786"/>
    <w:rsid w:val="00577CA5"/>
    <w:rsid w:val="00580458"/>
    <w:rsid w:val="00580491"/>
    <w:rsid w:val="00580664"/>
    <w:rsid w:val="0058079B"/>
    <w:rsid w:val="00580A73"/>
    <w:rsid w:val="00580DF5"/>
    <w:rsid w:val="0058100F"/>
    <w:rsid w:val="0058133E"/>
    <w:rsid w:val="00581535"/>
    <w:rsid w:val="005818D4"/>
    <w:rsid w:val="00581A08"/>
    <w:rsid w:val="00581A4E"/>
    <w:rsid w:val="00581F3B"/>
    <w:rsid w:val="005820FB"/>
    <w:rsid w:val="00582150"/>
    <w:rsid w:val="00582562"/>
    <w:rsid w:val="00582BAC"/>
    <w:rsid w:val="00582DE2"/>
    <w:rsid w:val="005835D8"/>
    <w:rsid w:val="005835F5"/>
    <w:rsid w:val="005835FC"/>
    <w:rsid w:val="0058409F"/>
    <w:rsid w:val="00584164"/>
    <w:rsid w:val="00584217"/>
    <w:rsid w:val="00584499"/>
    <w:rsid w:val="00584549"/>
    <w:rsid w:val="00584900"/>
    <w:rsid w:val="0058492F"/>
    <w:rsid w:val="00584D17"/>
    <w:rsid w:val="00584F38"/>
    <w:rsid w:val="00585151"/>
    <w:rsid w:val="005858F8"/>
    <w:rsid w:val="00585AA3"/>
    <w:rsid w:val="00585BC5"/>
    <w:rsid w:val="005861EE"/>
    <w:rsid w:val="005862E0"/>
    <w:rsid w:val="0058672D"/>
    <w:rsid w:val="00586E7F"/>
    <w:rsid w:val="00586F0F"/>
    <w:rsid w:val="00587261"/>
    <w:rsid w:val="0058767E"/>
    <w:rsid w:val="00587E5A"/>
    <w:rsid w:val="0059002B"/>
    <w:rsid w:val="0059010F"/>
    <w:rsid w:val="0059020A"/>
    <w:rsid w:val="00590A28"/>
    <w:rsid w:val="00590D77"/>
    <w:rsid w:val="00590EE5"/>
    <w:rsid w:val="00591089"/>
    <w:rsid w:val="005911A5"/>
    <w:rsid w:val="0059155B"/>
    <w:rsid w:val="00591617"/>
    <w:rsid w:val="005916ED"/>
    <w:rsid w:val="00591791"/>
    <w:rsid w:val="00591BA0"/>
    <w:rsid w:val="00591FD4"/>
    <w:rsid w:val="00593203"/>
    <w:rsid w:val="0059359A"/>
    <w:rsid w:val="00593874"/>
    <w:rsid w:val="00593A3E"/>
    <w:rsid w:val="00593AE9"/>
    <w:rsid w:val="00593DFA"/>
    <w:rsid w:val="00593F9A"/>
    <w:rsid w:val="00593FD1"/>
    <w:rsid w:val="00594108"/>
    <w:rsid w:val="00594A00"/>
    <w:rsid w:val="0059517D"/>
    <w:rsid w:val="005951D4"/>
    <w:rsid w:val="0059541B"/>
    <w:rsid w:val="00595858"/>
    <w:rsid w:val="00595978"/>
    <w:rsid w:val="00595A07"/>
    <w:rsid w:val="00595B07"/>
    <w:rsid w:val="00595D07"/>
    <w:rsid w:val="00595DC0"/>
    <w:rsid w:val="00596388"/>
    <w:rsid w:val="005968FE"/>
    <w:rsid w:val="00596A2C"/>
    <w:rsid w:val="00596A87"/>
    <w:rsid w:val="0059731F"/>
    <w:rsid w:val="00597892"/>
    <w:rsid w:val="00597B7A"/>
    <w:rsid w:val="00597F3A"/>
    <w:rsid w:val="005A0162"/>
    <w:rsid w:val="005A0369"/>
    <w:rsid w:val="005A0948"/>
    <w:rsid w:val="005A098B"/>
    <w:rsid w:val="005A0A25"/>
    <w:rsid w:val="005A0E1A"/>
    <w:rsid w:val="005A0EFA"/>
    <w:rsid w:val="005A1926"/>
    <w:rsid w:val="005A19E3"/>
    <w:rsid w:val="005A1AC7"/>
    <w:rsid w:val="005A1D0C"/>
    <w:rsid w:val="005A211A"/>
    <w:rsid w:val="005A2443"/>
    <w:rsid w:val="005A2A56"/>
    <w:rsid w:val="005A2AC7"/>
    <w:rsid w:val="005A2E62"/>
    <w:rsid w:val="005A2E6A"/>
    <w:rsid w:val="005A3160"/>
    <w:rsid w:val="005A38FF"/>
    <w:rsid w:val="005A3E19"/>
    <w:rsid w:val="005A457A"/>
    <w:rsid w:val="005A4609"/>
    <w:rsid w:val="005A477B"/>
    <w:rsid w:val="005A482B"/>
    <w:rsid w:val="005A488A"/>
    <w:rsid w:val="005A49B5"/>
    <w:rsid w:val="005A4E5A"/>
    <w:rsid w:val="005A50A0"/>
    <w:rsid w:val="005A5346"/>
    <w:rsid w:val="005A54C2"/>
    <w:rsid w:val="005A5863"/>
    <w:rsid w:val="005A59A8"/>
    <w:rsid w:val="005A62C6"/>
    <w:rsid w:val="005A67BF"/>
    <w:rsid w:val="005A694A"/>
    <w:rsid w:val="005A69A7"/>
    <w:rsid w:val="005A69F1"/>
    <w:rsid w:val="005A6E68"/>
    <w:rsid w:val="005A71A4"/>
    <w:rsid w:val="005A738D"/>
    <w:rsid w:val="005A75E1"/>
    <w:rsid w:val="005A7606"/>
    <w:rsid w:val="005A7674"/>
    <w:rsid w:val="005A78C4"/>
    <w:rsid w:val="005A7A9F"/>
    <w:rsid w:val="005A7EFE"/>
    <w:rsid w:val="005B01D6"/>
    <w:rsid w:val="005B0659"/>
    <w:rsid w:val="005B07F3"/>
    <w:rsid w:val="005B08F1"/>
    <w:rsid w:val="005B0B58"/>
    <w:rsid w:val="005B0B6A"/>
    <w:rsid w:val="005B0FF5"/>
    <w:rsid w:val="005B100B"/>
    <w:rsid w:val="005B1070"/>
    <w:rsid w:val="005B1387"/>
    <w:rsid w:val="005B1621"/>
    <w:rsid w:val="005B162B"/>
    <w:rsid w:val="005B235B"/>
    <w:rsid w:val="005B237B"/>
    <w:rsid w:val="005B25DC"/>
    <w:rsid w:val="005B25E4"/>
    <w:rsid w:val="005B267D"/>
    <w:rsid w:val="005B2AA1"/>
    <w:rsid w:val="005B2FA0"/>
    <w:rsid w:val="005B3167"/>
    <w:rsid w:val="005B3237"/>
    <w:rsid w:val="005B336E"/>
    <w:rsid w:val="005B3722"/>
    <w:rsid w:val="005B3AAB"/>
    <w:rsid w:val="005B3C7C"/>
    <w:rsid w:val="005B3DFC"/>
    <w:rsid w:val="005B48DC"/>
    <w:rsid w:val="005B4C36"/>
    <w:rsid w:val="005B4EE6"/>
    <w:rsid w:val="005B4EEA"/>
    <w:rsid w:val="005B5107"/>
    <w:rsid w:val="005B569D"/>
    <w:rsid w:val="005B5CFF"/>
    <w:rsid w:val="005B5EE6"/>
    <w:rsid w:val="005B5FBC"/>
    <w:rsid w:val="005B606F"/>
    <w:rsid w:val="005B63DC"/>
    <w:rsid w:val="005B659C"/>
    <w:rsid w:val="005B65CD"/>
    <w:rsid w:val="005B673B"/>
    <w:rsid w:val="005B67FB"/>
    <w:rsid w:val="005B68A3"/>
    <w:rsid w:val="005B6A29"/>
    <w:rsid w:val="005B6ADB"/>
    <w:rsid w:val="005B7025"/>
    <w:rsid w:val="005B7184"/>
    <w:rsid w:val="005B71BD"/>
    <w:rsid w:val="005B73D7"/>
    <w:rsid w:val="005B744D"/>
    <w:rsid w:val="005B7679"/>
    <w:rsid w:val="005B788D"/>
    <w:rsid w:val="005B7CA4"/>
    <w:rsid w:val="005B7EC4"/>
    <w:rsid w:val="005C02DD"/>
    <w:rsid w:val="005C04F0"/>
    <w:rsid w:val="005C0529"/>
    <w:rsid w:val="005C053C"/>
    <w:rsid w:val="005C08BF"/>
    <w:rsid w:val="005C0AF1"/>
    <w:rsid w:val="005C10D1"/>
    <w:rsid w:val="005C1528"/>
    <w:rsid w:val="005C1704"/>
    <w:rsid w:val="005C1C1E"/>
    <w:rsid w:val="005C1C82"/>
    <w:rsid w:val="005C218B"/>
    <w:rsid w:val="005C2290"/>
    <w:rsid w:val="005C27D0"/>
    <w:rsid w:val="005C2E7A"/>
    <w:rsid w:val="005C2EFA"/>
    <w:rsid w:val="005C3302"/>
    <w:rsid w:val="005C3D82"/>
    <w:rsid w:val="005C3E87"/>
    <w:rsid w:val="005C3F24"/>
    <w:rsid w:val="005C3F2C"/>
    <w:rsid w:val="005C3FBE"/>
    <w:rsid w:val="005C4422"/>
    <w:rsid w:val="005C448A"/>
    <w:rsid w:val="005C483A"/>
    <w:rsid w:val="005C492C"/>
    <w:rsid w:val="005C4B19"/>
    <w:rsid w:val="005C4B4D"/>
    <w:rsid w:val="005C5445"/>
    <w:rsid w:val="005C5E8F"/>
    <w:rsid w:val="005C6BB5"/>
    <w:rsid w:val="005C6E52"/>
    <w:rsid w:val="005C729E"/>
    <w:rsid w:val="005C74FB"/>
    <w:rsid w:val="005C7575"/>
    <w:rsid w:val="005C75AE"/>
    <w:rsid w:val="005D039D"/>
    <w:rsid w:val="005D05DB"/>
    <w:rsid w:val="005D070F"/>
    <w:rsid w:val="005D08DE"/>
    <w:rsid w:val="005D0955"/>
    <w:rsid w:val="005D0C25"/>
    <w:rsid w:val="005D10AC"/>
    <w:rsid w:val="005D1254"/>
    <w:rsid w:val="005D15E6"/>
    <w:rsid w:val="005D15F7"/>
    <w:rsid w:val="005D175A"/>
    <w:rsid w:val="005D1847"/>
    <w:rsid w:val="005D1900"/>
    <w:rsid w:val="005D1951"/>
    <w:rsid w:val="005D1C19"/>
    <w:rsid w:val="005D1DEA"/>
    <w:rsid w:val="005D1FD9"/>
    <w:rsid w:val="005D231A"/>
    <w:rsid w:val="005D26A0"/>
    <w:rsid w:val="005D2B1B"/>
    <w:rsid w:val="005D2E05"/>
    <w:rsid w:val="005D3079"/>
    <w:rsid w:val="005D31F2"/>
    <w:rsid w:val="005D32B7"/>
    <w:rsid w:val="005D33A2"/>
    <w:rsid w:val="005D36AF"/>
    <w:rsid w:val="005D3909"/>
    <w:rsid w:val="005D3AE0"/>
    <w:rsid w:val="005D3AFF"/>
    <w:rsid w:val="005D3B25"/>
    <w:rsid w:val="005D3CA1"/>
    <w:rsid w:val="005D3EE6"/>
    <w:rsid w:val="005D4111"/>
    <w:rsid w:val="005D4404"/>
    <w:rsid w:val="005D485F"/>
    <w:rsid w:val="005D4C46"/>
    <w:rsid w:val="005D4D1A"/>
    <w:rsid w:val="005D4D4F"/>
    <w:rsid w:val="005D5090"/>
    <w:rsid w:val="005D51BE"/>
    <w:rsid w:val="005D526F"/>
    <w:rsid w:val="005D57DF"/>
    <w:rsid w:val="005D5B42"/>
    <w:rsid w:val="005D5BA8"/>
    <w:rsid w:val="005D5DED"/>
    <w:rsid w:val="005D60C0"/>
    <w:rsid w:val="005D6321"/>
    <w:rsid w:val="005D68FF"/>
    <w:rsid w:val="005D6B2B"/>
    <w:rsid w:val="005D6E72"/>
    <w:rsid w:val="005D7039"/>
    <w:rsid w:val="005D729C"/>
    <w:rsid w:val="005D749D"/>
    <w:rsid w:val="005D7652"/>
    <w:rsid w:val="005D779F"/>
    <w:rsid w:val="005D7CB2"/>
    <w:rsid w:val="005E028F"/>
    <w:rsid w:val="005E0495"/>
    <w:rsid w:val="005E058E"/>
    <w:rsid w:val="005E06C5"/>
    <w:rsid w:val="005E080D"/>
    <w:rsid w:val="005E0876"/>
    <w:rsid w:val="005E08C0"/>
    <w:rsid w:val="005E0AE2"/>
    <w:rsid w:val="005E1024"/>
    <w:rsid w:val="005E1208"/>
    <w:rsid w:val="005E1706"/>
    <w:rsid w:val="005E1DCA"/>
    <w:rsid w:val="005E1FC7"/>
    <w:rsid w:val="005E2259"/>
    <w:rsid w:val="005E227B"/>
    <w:rsid w:val="005E241C"/>
    <w:rsid w:val="005E2657"/>
    <w:rsid w:val="005E27FB"/>
    <w:rsid w:val="005E2C19"/>
    <w:rsid w:val="005E2DEC"/>
    <w:rsid w:val="005E30A5"/>
    <w:rsid w:val="005E313C"/>
    <w:rsid w:val="005E330C"/>
    <w:rsid w:val="005E33C4"/>
    <w:rsid w:val="005E35A7"/>
    <w:rsid w:val="005E36B9"/>
    <w:rsid w:val="005E3770"/>
    <w:rsid w:val="005E3ADF"/>
    <w:rsid w:val="005E3B7A"/>
    <w:rsid w:val="005E3F8D"/>
    <w:rsid w:val="005E41CF"/>
    <w:rsid w:val="005E433B"/>
    <w:rsid w:val="005E4924"/>
    <w:rsid w:val="005E4A6B"/>
    <w:rsid w:val="005E4DF7"/>
    <w:rsid w:val="005E50A1"/>
    <w:rsid w:val="005E57C8"/>
    <w:rsid w:val="005E5B25"/>
    <w:rsid w:val="005E5BEE"/>
    <w:rsid w:val="005E5E64"/>
    <w:rsid w:val="005E5FF9"/>
    <w:rsid w:val="005E6209"/>
    <w:rsid w:val="005E62F5"/>
    <w:rsid w:val="005E6587"/>
    <w:rsid w:val="005E66D7"/>
    <w:rsid w:val="005E66E7"/>
    <w:rsid w:val="005E6BC9"/>
    <w:rsid w:val="005E6C7E"/>
    <w:rsid w:val="005E6DF4"/>
    <w:rsid w:val="005E6EFA"/>
    <w:rsid w:val="005E6F02"/>
    <w:rsid w:val="005E6F56"/>
    <w:rsid w:val="005E7013"/>
    <w:rsid w:val="005E7819"/>
    <w:rsid w:val="005E7AD6"/>
    <w:rsid w:val="005E7E6A"/>
    <w:rsid w:val="005F0039"/>
    <w:rsid w:val="005F0179"/>
    <w:rsid w:val="005F0741"/>
    <w:rsid w:val="005F08AD"/>
    <w:rsid w:val="005F0974"/>
    <w:rsid w:val="005F0B1B"/>
    <w:rsid w:val="005F0EAA"/>
    <w:rsid w:val="005F1036"/>
    <w:rsid w:val="005F10E0"/>
    <w:rsid w:val="005F1451"/>
    <w:rsid w:val="005F1C77"/>
    <w:rsid w:val="005F1FDA"/>
    <w:rsid w:val="005F2306"/>
    <w:rsid w:val="005F24A0"/>
    <w:rsid w:val="005F2B13"/>
    <w:rsid w:val="005F2BF6"/>
    <w:rsid w:val="005F2F65"/>
    <w:rsid w:val="005F31E6"/>
    <w:rsid w:val="005F3305"/>
    <w:rsid w:val="005F346E"/>
    <w:rsid w:val="005F346F"/>
    <w:rsid w:val="005F34DB"/>
    <w:rsid w:val="005F3A81"/>
    <w:rsid w:val="005F3EC3"/>
    <w:rsid w:val="005F435E"/>
    <w:rsid w:val="005F44D0"/>
    <w:rsid w:val="005F4D07"/>
    <w:rsid w:val="005F4EB4"/>
    <w:rsid w:val="005F4F8D"/>
    <w:rsid w:val="005F51BA"/>
    <w:rsid w:val="005F52FB"/>
    <w:rsid w:val="005F5466"/>
    <w:rsid w:val="005F54A5"/>
    <w:rsid w:val="005F5629"/>
    <w:rsid w:val="005F587C"/>
    <w:rsid w:val="005F5B64"/>
    <w:rsid w:val="005F5C0F"/>
    <w:rsid w:val="005F5CDB"/>
    <w:rsid w:val="005F61ED"/>
    <w:rsid w:val="005F62AD"/>
    <w:rsid w:val="005F63E7"/>
    <w:rsid w:val="005F66FA"/>
    <w:rsid w:val="005F67CC"/>
    <w:rsid w:val="005F6827"/>
    <w:rsid w:val="005F688A"/>
    <w:rsid w:val="005F6A23"/>
    <w:rsid w:val="005F6B1B"/>
    <w:rsid w:val="005F6C1D"/>
    <w:rsid w:val="005F6D39"/>
    <w:rsid w:val="005F6DAE"/>
    <w:rsid w:val="005F6EC8"/>
    <w:rsid w:val="005F703B"/>
    <w:rsid w:val="005F7075"/>
    <w:rsid w:val="005F72D7"/>
    <w:rsid w:val="005F7805"/>
    <w:rsid w:val="005F7CAA"/>
    <w:rsid w:val="005F7D6F"/>
    <w:rsid w:val="005F7F2C"/>
    <w:rsid w:val="00600409"/>
    <w:rsid w:val="00600552"/>
    <w:rsid w:val="0060069B"/>
    <w:rsid w:val="0060076D"/>
    <w:rsid w:val="00600C69"/>
    <w:rsid w:val="0060185A"/>
    <w:rsid w:val="00601942"/>
    <w:rsid w:val="00601BDE"/>
    <w:rsid w:val="00601C74"/>
    <w:rsid w:val="00601D49"/>
    <w:rsid w:val="00601D72"/>
    <w:rsid w:val="00601E3C"/>
    <w:rsid w:val="00601FA2"/>
    <w:rsid w:val="0060204F"/>
    <w:rsid w:val="00602369"/>
    <w:rsid w:val="00602462"/>
    <w:rsid w:val="006029B0"/>
    <w:rsid w:val="00602A12"/>
    <w:rsid w:val="00602CDB"/>
    <w:rsid w:val="00602F70"/>
    <w:rsid w:val="006030B4"/>
    <w:rsid w:val="00603160"/>
    <w:rsid w:val="0060385E"/>
    <w:rsid w:val="00603AA6"/>
    <w:rsid w:val="00603BBC"/>
    <w:rsid w:val="00603E19"/>
    <w:rsid w:val="0060409E"/>
    <w:rsid w:val="006047E3"/>
    <w:rsid w:val="00604806"/>
    <w:rsid w:val="006048ED"/>
    <w:rsid w:val="00604CB9"/>
    <w:rsid w:val="00604F96"/>
    <w:rsid w:val="00605257"/>
    <w:rsid w:val="00605718"/>
    <w:rsid w:val="00605756"/>
    <w:rsid w:val="006058FA"/>
    <w:rsid w:val="006059B4"/>
    <w:rsid w:val="00605ECE"/>
    <w:rsid w:val="00605F1A"/>
    <w:rsid w:val="00605FD8"/>
    <w:rsid w:val="0060600E"/>
    <w:rsid w:val="00606833"/>
    <w:rsid w:val="00606A35"/>
    <w:rsid w:val="00606FC7"/>
    <w:rsid w:val="0060747D"/>
    <w:rsid w:val="006079F0"/>
    <w:rsid w:val="00607BB7"/>
    <w:rsid w:val="00607C83"/>
    <w:rsid w:val="00607E2B"/>
    <w:rsid w:val="00607F3B"/>
    <w:rsid w:val="0061007E"/>
    <w:rsid w:val="0061012C"/>
    <w:rsid w:val="00610211"/>
    <w:rsid w:val="00610487"/>
    <w:rsid w:val="00610507"/>
    <w:rsid w:val="00610F87"/>
    <w:rsid w:val="00611A99"/>
    <w:rsid w:val="00611AA9"/>
    <w:rsid w:val="00611D09"/>
    <w:rsid w:val="00611DD2"/>
    <w:rsid w:val="00611F9A"/>
    <w:rsid w:val="006123BC"/>
    <w:rsid w:val="006123EF"/>
    <w:rsid w:val="00612DE8"/>
    <w:rsid w:val="00612E3F"/>
    <w:rsid w:val="00612F75"/>
    <w:rsid w:val="00613022"/>
    <w:rsid w:val="006134DF"/>
    <w:rsid w:val="00613742"/>
    <w:rsid w:val="006140E6"/>
    <w:rsid w:val="006141B0"/>
    <w:rsid w:val="006146C1"/>
    <w:rsid w:val="0061479F"/>
    <w:rsid w:val="00614811"/>
    <w:rsid w:val="00614913"/>
    <w:rsid w:val="00614A91"/>
    <w:rsid w:val="00614FD0"/>
    <w:rsid w:val="006152E1"/>
    <w:rsid w:val="00615356"/>
    <w:rsid w:val="00615471"/>
    <w:rsid w:val="00615563"/>
    <w:rsid w:val="00615645"/>
    <w:rsid w:val="0061586D"/>
    <w:rsid w:val="00615AE9"/>
    <w:rsid w:val="00615B22"/>
    <w:rsid w:val="006161A0"/>
    <w:rsid w:val="00616685"/>
    <w:rsid w:val="006168B5"/>
    <w:rsid w:val="00616939"/>
    <w:rsid w:val="00616951"/>
    <w:rsid w:val="00616A4F"/>
    <w:rsid w:val="00616AA5"/>
    <w:rsid w:val="00616B9B"/>
    <w:rsid w:val="00616E23"/>
    <w:rsid w:val="00616E46"/>
    <w:rsid w:val="00616F7C"/>
    <w:rsid w:val="00617024"/>
    <w:rsid w:val="00617184"/>
    <w:rsid w:val="006173EB"/>
    <w:rsid w:val="00617746"/>
    <w:rsid w:val="00617878"/>
    <w:rsid w:val="00617E68"/>
    <w:rsid w:val="006203BF"/>
    <w:rsid w:val="00620461"/>
    <w:rsid w:val="00620479"/>
    <w:rsid w:val="006205A3"/>
    <w:rsid w:val="00620686"/>
    <w:rsid w:val="00620A8B"/>
    <w:rsid w:val="00620B25"/>
    <w:rsid w:val="00620C54"/>
    <w:rsid w:val="00620F41"/>
    <w:rsid w:val="00620FED"/>
    <w:rsid w:val="00621220"/>
    <w:rsid w:val="006212A0"/>
    <w:rsid w:val="00621446"/>
    <w:rsid w:val="00621786"/>
    <w:rsid w:val="00621A5F"/>
    <w:rsid w:val="00621ACF"/>
    <w:rsid w:val="00621B3F"/>
    <w:rsid w:val="00622044"/>
    <w:rsid w:val="006220D7"/>
    <w:rsid w:val="0062236C"/>
    <w:rsid w:val="00622489"/>
    <w:rsid w:val="00622613"/>
    <w:rsid w:val="0062263A"/>
    <w:rsid w:val="0062292A"/>
    <w:rsid w:val="00622B23"/>
    <w:rsid w:val="00622C4C"/>
    <w:rsid w:val="00622CA1"/>
    <w:rsid w:val="00622D5B"/>
    <w:rsid w:val="00622E42"/>
    <w:rsid w:val="00622FFE"/>
    <w:rsid w:val="006230E6"/>
    <w:rsid w:val="0062310C"/>
    <w:rsid w:val="00623251"/>
    <w:rsid w:val="0062360E"/>
    <w:rsid w:val="006237FD"/>
    <w:rsid w:val="0062384A"/>
    <w:rsid w:val="006238BE"/>
    <w:rsid w:val="00623E24"/>
    <w:rsid w:val="00624163"/>
    <w:rsid w:val="006247FE"/>
    <w:rsid w:val="00624AB0"/>
    <w:rsid w:val="00624C80"/>
    <w:rsid w:val="00624F98"/>
    <w:rsid w:val="006250AC"/>
    <w:rsid w:val="00625178"/>
    <w:rsid w:val="00625256"/>
    <w:rsid w:val="00625285"/>
    <w:rsid w:val="0062530B"/>
    <w:rsid w:val="006255B1"/>
    <w:rsid w:val="006256F7"/>
    <w:rsid w:val="006258CA"/>
    <w:rsid w:val="0062596A"/>
    <w:rsid w:val="00625A58"/>
    <w:rsid w:val="00625BD9"/>
    <w:rsid w:val="00625F85"/>
    <w:rsid w:val="0062614B"/>
    <w:rsid w:val="0062648A"/>
    <w:rsid w:val="0062663F"/>
    <w:rsid w:val="0062680F"/>
    <w:rsid w:val="00626CF9"/>
    <w:rsid w:val="00626E4A"/>
    <w:rsid w:val="00626F68"/>
    <w:rsid w:val="00627055"/>
    <w:rsid w:val="00627181"/>
    <w:rsid w:val="00627740"/>
    <w:rsid w:val="00627991"/>
    <w:rsid w:val="00627BA8"/>
    <w:rsid w:val="00627CC0"/>
    <w:rsid w:val="00627DBD"/>
    <w:rsid w:val="00627ED7"/>
    <w:rsid w:val="006302C8"/>
    <w:rsid w:val="006305F9"/>
    <w:rsid w:val="006308D0"/>
    <w:rsid w:val="0063094A"/>
    <w:rsid w:val="00630A4A"/>
    <w:rsid w:val="00630B55"/>
    <w:rsid w:val="00630E4B"/>
    <w:rsid w:val="00631343"/>
    <w:rsid w:val="0063134E"/>
    <w:rsid w:val="00631563"/>
    <w:rsid w:val="006315D4"/>
    <w:rsid w:val="0063175D"/>
    <w:rsid w:val="00631825"/>
    <w:rsid w:val="0063189F"/>
    <w:rsid w:val="006319A4"/>
    <w:rsid w:val="00631DEF"/>
    <w:rsid w:val="00631ED7"/>
    <w:rsid w:val="006320B8"/>
    <w:rsid w:val="006320CF"/>
    <w:rsid w:val="00632185"/>
    <w:rsid w:val="00632288"/>
    <w:rsid w:val="006322E2"/>
    <w:rsid w:val="006324DB"/>
    <w:rsid w:val="00632A01"/>
    <w:rsid w:val="00632A5C"/>
    <w:rsid w:val="00632D1E"/>
    <w:rsid w:val="00632E55"/>
    <w:rsid w:val="006330DD"/>
    <w:rsid w:val="00633361"/>
    <w:rsid w:val="00633638"/>
    <w:rsid w:val="00633AB8"/>
    <w:rsid w:val="00633B81"/>
    <w:rsid w:val="00633D45"/>
    <w:rsid w:val="00633D97"/>
    <w:rsid w:val="00633F84"/>
    <w:rsid w:val="006340FA"/>
    <w:rsid w:val="00634653"/>
    <w:rsid w:val="0063468E"/>
    <w:rsid w:val="006348E9"/>
    <w:rsid w:val="0063547F"/>
    <w:rsid w:val="006356DB"/>
    <w:rsid w:val="00635A41"/>
    <w:rsid w:val="00635C73"/>
    <w:rsid w:val="00635F8F"/>
    <w:rsid w:val="0063605C"/>
    <w:rsid w:val="00636780"/>
    <w:rsid w:val="00636965"/>
    <w:rsid w:val="00636ADB"/>
    <w:rsid w:val="00637070"/>
    <w:rsid w:val="00637351"/>
    <w:rsid w:val="00637454"/>
    <w:rsid w:val="0063747F"/>
    <w:rsid w:val="00637904"/>
    <w:rsid w:val="00637C9D"/>
    <w:rsid w:val="00637DD7"/>
    <w:rsid w:val="00640003"/>
    <w:rsid w:val="00640177"/>
    <w:rsid w:val="00640384"/>
    <w:rsid w:val="00640481"/>
    <w:rsid w:val="0064050A"/>
    <w:rsid w:val="006405E0"/>
    <w:rsid w:val="0064072C"/>
    <w:rsid w:val="00640777"/>
    <w:rsid w:val="00640903"/>
    <w:rsid w:val="00640DF9"/>
    <w:rsid w:val="00641679"/>
    <w:rsid w:val="0064190C"/>
    <w:rsid w:val="00641C4A"/>
    <w:rsid w:val="00641F68"/>
    <w:rsid w:val="00642044"/>
    <w:rsid w:val="006420BC"/>
    <w:rsid w:val="0064215B"/>
    <w:rsid w:val="006423B1"/>
    <w:rsid w:val="00642404"/>
    <w:rsid w:val="006424D6"/>
    <w:rsid w:val="006429C4"/>
    <w:rsid w:val="006429D0"/>
    <w:rsid w:val="00642BD6"/>
    <w:rsid w:val="00642F06"/>
    <w:rsid w:val="006430AA"/>
    <w:rsid w:val="006431BD"/>
    <w:rsid w:val="006432E0"/>
    <w:rsid w:val="006441CF"/>
    <w:rsid w:val="0064429F"/>
    <w:rsid w:val="006443FC"/>
    <w:rsid w:val="006446FD"/>
    <w:rsid w:val="0064473F"/>
    <w:rsid w:val="00644776"/>
    <w:rsid w:val="00644B12"/>
    <w:rsid w:val="00644F56"/>
    <w:rsid w:val="0064501C"/>
    <w:rsid w:val="00645349"/>
    <w:rsid w:val="006453A9"/>
    <w:rsid w:val="00645469"/>
    <w:rsid w:val="00645834"/>
    <w:rsid w:val="00645F55"/>
    <w:rsid w:val="0064651C"/>
    <w:rsid w:val="006471B1"/>
    <w:rsid w:val="0064774F"/>
    <w:rsid w:val="006479D1"/>
    <w:rsid w:val="00647CDE"/>
    <w:rsid w:val="00647EE9"/>
    <w:rsid w:val="0065005A"/>
    <w:rsid w:val="00650078"/>
    <w:rsid w:val="00650110"/>
    <w:rsid w:val="00650375"/>
    <w:rsid w:val="00650476"/>
    <w:rsid w:val="0065047B"/>
    <w:rsid w:val="00650570"/>
    <w:rsid w:val="006508E0"/>
    <w:rsid w:val="00650AFA"/>
    <w:rsid w:val="00650C10"/>
    <w:rsid w:val="00650DDE"/>
    <w:rsid w:val="00650E36"/>
    <w:rsid w:val="00650F14"/>
    <w:rsid w:val="00651517"/>
    <w:rsid w:val="006515C0"/>
    <w:rsid w:val="00651774"/>
    <w:rsid w:val="006517FF"/>
    <w:rsid w:val="0065184D"/>
    <w:rsid w:val="00651889"/>
    <w:rsid w:val="00651BA5"/>
    <w:rsid w:val="00651BF8"/>
    <w:rsid w:val="0065229E"/>
    <w:rsid w:val="006525D4"/>
    <w:rsid w:val="006527C7"/>
    <w:rsid w:val="00652A75"/>
    <w:rsid w:val="00652A8C"/>
    <w:rsid w:val="00652BD5"/>
    <w:rsid w:val="00652FCF"/>
    <w:rsid w:val="00652FD1"/>
    <w:rsid w:val="00653192"/>
    <w:rsid w:val="006533D7"/>
    <w:rsid w:val="00653451"/>
    <w:rsid w:val="0065351F"/>
    <w:rsid w:val="00653714"/>
    <w:rsid w:val="006537B9"/>
    <w:rsid w:val="006539F2"/>
    <w:rsid w:val="00653A6C"/>
    <w:rsid w:val="00653B93"/>
    <w:rsid w:val="00654058"/>
    <w:rsid w:val="0065430F"/>
    <w:rsid w:val="00654347"/>
    <w:rsid w:val="0065445F"/>
    <w:rsid w:val="00654532"/>
    <w:rsid w:val="00654586"/>
    <w:rsid w:val="006545D3"/>
    <w:rsid w:val="0065461D"/>
    <w:rsid w:val="0065493E"/>
    <w:rsid w:val="00654B5F"/>
    <w:rsid w:val="00654C67"/>
    <w:rsid w:val="00654CD8"/>
    <w:rsid w:val="00654DB2"/>
    <w:rsid w:val="00654E20"/>
    <w:rsid w:val="00655509"/>
    <w:rsid w:val="00656084"/>
    <w:rsid w:val="00656534"/>
    <w:rsid w:val="00656604"/>
    <w:rsid w:val="0065665D"/>
    <w:rsid w:val="00656749"/>
    <w:rsid w:val="00656836"/>
    <w:rsid w:val="0065685E"/>
    <w:rsid w:val="00656E57"/>
    <w:rsid w:val="006571F7"/>
    <w:rsid w:val="006572DD"/>
    <w:rsid w:val="00657715"/>
    <w:rsid w:val="00657826"/>
    <w:rsid w:val="00657BA3"/>
    <w:rsid w:val="00657D15"/>
    <w:rsid w:val="00657E45"/>
    <w:rsid w:val="00657F47"/>
    <w:rsid w:val="00657FA3"/>
    <w:rsid w:val="00660A70"/>
    <w:rsid w:val="00660BD3"/>
    <w:rsid w:val="00660C1F"/>
    <w:rsid w:val="006610C8"/>
    <w:rsid w:val="0066120A"/>
    <w:rsid w:val="006615C0"/>
    <w:rsid w:val="0066160D"/>
    <w:rsid w:val="0066162B"/>
    <w:rsid w:val="0066175D"/>
    <w:rsid w:val="00661899"/>
    <w:rsid w:val="00661A77"/>
    <w:rsid w:val="00661BD9"/>
    <w:rsid w:val="00661EC7"/>
    <w:rsid w:val="006622B6"/>
    <w:rsid w:val="00662BFB"/>
    <w:rsid w:val="00663049"/>
    <w:rsid w:val="006631CA"/>
    <w:rsid w:val="00663A36"/>
    <w:rsid w:val="00663D52"/>
    <w:rsid w:val="00663D89"/>
    <w:rsid w:val="00663FFC"/>
    <w:rsid w:val="00664104"/>
    <w:rsid w:val="00664390"/>
    <w:rsid w:val="0066439A"/>
    <w:rsid w:val="00664613"/>
    <w:rsid w:val="006648C3"/>
    <w:rsid w:val="00664A30"/>
    <w:rsid w:val="00664FEB"/>
    <w:rsid w:val="00665254"/>
    <w:rsid w:val="0066542F"/>
    <w:rsid w:val="00665535"/>
    <w:rsid w:val="006658F8"/>
    <w:rsid w:val="00665917"/>
    <w:rsid w:val="006661DD"/>
    <w:rsid w:val="006663E4"/>
    <w:rsid w:val="0066695F"/>
    <w:rsid w:val="00666A92"/>
    <w:rsid w:val="00666AD9"/>
    <w:rsid w:val="00666B3F"/>
    <w:rsid w:val="00666BB3"/>
    <w:rsid w:val="00666C5E"/>
    <w:rsid w:val="00666CA8"/>
    <w:rsid w:val="00666CDC"/>
    <w:rsid w:val="00666E44"/>
    <w:rsid w:val="00667221"/>
    <w:rsid w:val="0066739C"/>
    <w:rsid w:val="006676BE"/>
    <w:rsid w:val="00667785"/>
    <w:rsid w:val="00667A5C"/>
    <w:rsid w:val="00667C4D"/>
    <w:rsid w:val="00667C60"/>
    <w:rsid w:val="00667C9F"/>
    <w:rsid w:val="00667D7D"/>
    <w:rsid w:val="00667FE8"/>
    <w:rsid w:val="00670152"/>
    <w:rsid w:val="00670229"/>
    <w:rsid w:val="00670316"/>
    <w:rsid w:val="0067039C"/>
    <w:rsid w:val="006703B5"/>
    <w:rsid w:val="00670414"/>
    <w:rsid w:val="00670892"/>
    <w:rsid w:val="00670D1D"/>
    <w:rsid w:val="00670F42"/>
    <w:rsid w:val="00671487"/>
    <w:rsid w:val="00671534"/>
    <w:rsid w:val="006716D7"/>
    <w:rsid w:val="00671882"/>
    <w:rsid w:val="00671887"/>
    <w:rsid w:val="00671896"/>
    <w:rsid w:val="006718ED"/>
    <w:rsid w:val="00671929"/>
    <w:rsid w:val="0067193E"/>
    <w:rsid w:val="00671A4A"/>
    <w:rsid w:val="00671A60"/>
    <w:rsid w:val="00671D32"/>
    <w:rsid w:val="00671FE6"/>
    <w:rsid w:val="00672034"/>
    <w:rsid w:val="00672157"/>
    <w:rsid w:val="006722C8"/>
    <w:rsid w:val="00672721"/>
    <w:rsid w:val="00672749"/>
    <w:rsid w:val="006727DB"/>
    <w:rsid w:val="00672AA3"/>
    <w:rsid w:val="00672DC4"/>
    <w:rsid w:val="0067318F"/>
    <w:rsid w:val="006734D3"/>
    <w:rsid w:val="00673B68"/>
    <w:rsid w:val="00673E47"/>
    <w:rsid w:val="00673F3F"/>
    <w:rsid w:val="0067412D"/>
    <w:rsid w:val="006741FF"/>
    <w:rsid w:val="006743D3"/>
    <w:rsid w:val="00674547"/>
    <w:rsid w:val="006746B7"/>
    <w:rsid w:val="006746E4"/>
    <w:rsid w:val="0067485B"/>
    <w:rsid w:val="00674C66"/>
    <w:rsid w:val="00674DEE"/>
    <w:rsid w:val="00674EC3"/>
    <w:rsid w:val="00675094"/>
    <w:rsid w:val="00675963"/>
    <w:rsid w:val="00675C1D"/>
    <w:rsid w:val="00675D37"/>
    <w:rsid w:val="00675D5A"/>
    <w:rsid w:val="00675E13"/>
    <w:rsid w:val="00675F58"/>
    <w:rsid w:val="006760C1"/>
    <w:rsid w:val="00676130"/>
    <w:rsid w:val="00676378"/>
    <w:rsid w:val="0067643C"/>
    <w:rsid w:val="00676B1F"/>
    <w:rsid w:val="00676C42"/>
    <w:rsid w:val="00676C75"/>
    <w:rsid w:val="00676DFB"/>
    <w:rsid w:val="00676FE6"/>
    <w:rsid w:val="00677122"/>
    <w:rsid w:val="00677817"/>
    <w:rsid w:val="00677CF9"/>
    <w:rsid w:val="006801BC"/>
    <w:rsid w:val="0068088E"/>
    <w:rsid w:val="00680917"/>
    <w:rsid w:val="00680CFC"/>
    <w:rsid w:val="00680E2A"/>
    <w:rsid w:val="00681766"/>
    <w:rsid w:val="00681BF1"/>
    <w:rsid w:val="00681F20"/>
    <w:rsid w:val="00682023"/>
    <w:rsid w:val="00682162"/>
    <w:rsid w:val="006822C0"/>
    <w:rsid w:val="0068239F"/>
    <w:rsid w:val="00682694"/>
    <w:rsid w:val="00682BF4"/>
    <w:rsid w:val="00682D0C"/>
    <w:rsid w:val="00682FE0"/>
    <w:rsid w:val="00683256"/>
    <w:rsid w:val="00683431"/>
    <w:rsid w:val="0068382F"/>
    <w:rsid w:val="00683DB4"/>
    <w:rsid w:val="00684724"/>
    <w:rsid w:val="00684807"/>
    <w:rsid w:val="0068486F"/>
    <w:rsid w:val="006848CA"/>
    <w:rsid w:val="00684D3D"/>
    <w:rsid w:val="00685538"/>
    <w:rsid w:val="00685720"/>
    <w:rsid w:val="00685759"/>
    <w:rsid w:val="00685B30"/>
    <w:rsid w:val="006860D7"/>
    <w:rsid w:val="0068621B"/>
    <w:rsid w:val="00686221"/>
    <w:rsid w:val="006863D6"/>
    <w:rsid w:val="00686460"/>
    <w:rsid w:val="00686514"/>
    <w:rsid w:val="006866B1"/>
    <w:rsid w:val="006866C1"/>
    <w:rsid w:val="006867F8"/>
    <w:rsid w:val="006868B8"/>
    <w:rsid w:val="00686997"/>
    <w:rsid w:val="00686A09"/>
    <w:rsid w:val="00686B11"/>
    <w:rsid w:val="00686B31"/>
    <w:rsid w:val="00686C03"/>
    <w:rsid w:val="00686C14"/>
    <w:rsid w:val="00686F6B"/>
    <w:rsid w:val="00687036"/>
    <w:rsid w:val="006870B0"/>
    <w:rsid w:val="006870E0"/>
    <w:rsid w:val="00687481"/>
    <w:rsid w:val="006875F7"/>
    <w:rsid w:val="00687690"/>
    <w:rsid w:val="006879CC"/>
    <w:rsid w:val="00687A86"/>
    <w:rsid w:val="00687F70"/>
    <w:rsid w:val="00690385"/>
    <w:rsid w:val="006907E4"/>
    <w:rsid w:val="00690888"/>
    <w:rsid w:val="00690906"/>
    <w:rsid w:val="00690B80"/>
    <w:rsid w:val="00690B91"/>
    <w:rsid w:val="00690D82"/>
    <w:rsid w:val="00690EFF"/>
    <w:rsid w:val="006910FD"/>
    <w:rsid w:val="006911E5"/>
    <w:rsid w:val="0069135D"/>
    <w:rsid w:val="00691394"/>
    <w:rsid w:val="006914AA"/>
    <w:rsid w:val="00691957"/>
    <w:rsid w:val="00691B32"/>
    <w:rsid w:val="00691C76"/>
    <w:rsid w:val="00691E38"/>
    <w:rsid w:val="00691E98"/>
    <w:rsid w:val="00692102"/>
    <w:rsid w:val="006928CD"/>
    <w:rsid w:val="00692CC1"/>
    <w:rsid w:val="0069302B"/>
    <w:rsid w:val="00693092"/>
    <w:rsid w:val="006931C0"/>
    <w:rsid w:val="00693238"/>
    <w:rsid w:val="0069370D"/>
    <w:rsid w:val="00693784"/>
    <w:rsid w:val="00694248"/>
    <w:rsid w:val="0069426D"/>
    <w:rsid w:val="006943A7"/>
    <w:rsid w:val="006944A8"/>
    <w:rsid w:val="0069478E"/>
    <w:rsid w:val="006948B7"/>
    <w:rsid w:val="0069495B"/>
    <w:rsid w:val="00694D90"/>
    <w:rsid w:val="00694DEB"/>
    <w:rsid w:val="006950C0"/>
    <w:rsid w:val="006953C6"/>
    <w:rsid w:val="0069549D"/>
    <w:rsid w:val="00695582"/>
    <w:rsid w:val="00695B6F"/>
    <w:rsid w:val="00695D50"/>
    <w:rsid w:val="00695E84"/>
    <w:rsid w:val="00696112"/>
    <w:rsid w:val="00696214"/>
    <w:rsid w:val="006962BE"/>
    <w:rsid w:val="00696648"/>
    <w:rsid w:val="006966BF"/>
    <w:rsid w:val="00696BAA"/>
    <w:rsid w:val="00696D60"/>
    <w:rsid w:val="00696E0B"/>
    <w:rsid w:val="00696E95"/>
    <w:rsid w:val="00696F27"/>
    <w:rsid w:val="0069710D"/>
    <w:rsid w:val="00697152"/>
    <w:rsid w:val="006971B5"/>
    <w:rsid w:val="00697257"/>
    <w:rsid w:val="0069726F"/>
    <w:rsid w:val="006973CB"/>
    <w:rsid w:val="006978AD"/>
    <w:rsid w:val="006979DE"/>
    <w:rsid w:val="00697A9D"/>
    <w:rsid w:val="006A005E"/>
    <w:rsid w:val="006A016B"/>
    <w:rsid w:val="006A04F8"/>
    <w:rsid w:val="006A05F3"/>
    <w:rsid w:val="006A06F1"/>
    <w:rsid w:val="006A0779"/>
    <w:rsid w:val="006A07EB"/>
    <w:rsid w:val="006A0CFA"/>
    <w:rsid w:val="006A0DC1"/>
    <w:rsid w:val="006A1184"/>
    <w:rsid w:val="006A1345"/>
    <w:rsid w:val="006A1579"/>
    <w:rsid w:val="006A15DF"/>
    <w:rsid w:val="006A16FB"/>
    <w:rsid w:val="006A1B37"/>
    <w:rsid w:val="006A1B9B"/>
    <w:rsid w:val="006A1E4B"/>
    <w:rsid w:val="006A1E5D"/>
    <w:rsid w:val="006A2190"/>
    <w:rsid w:val="006A259D"/>
    <w:rsid w:val="006A26DD"/>
    <w:rsid w:val="006A28A2"/>
    <w:rsid w:val="006A2A03"/>
    <w:rsid w:val="006A30F6"/>
    <w:rsid w:val="006A34F4"/>
    <w:rsid w:val="006A3556"/>
    <w:rsid w:val="006A393C"/>
    <w:rsid w:val="006A3960"/>
    <w:rsid w:val="006A3BF4"/>
    <w:rsid w:val="006A425E"/>
    <w:rsid w:val="006A4893"/>
    <w:rsid w:val="006A4923"/>
    <w:rsid w:val="006A4A9D"/>
    <w:rsid w:val="006A51EC"/>
    <w:rsid w:val="006A55BA"/>
    <w:rsid w:val="006A587B"/>
    <w:rsid w:val="006A5A63"/>
    <w:rsid w:val="006A5E32"/>
    <w:rsid w:val="006A6121"/>
    <w:rsid w:val="006A627C"/>
    <w:rsid w:val="006A65FC"/>
    <w:rsid w:val="006A66A5"/>
    <w:rsid w:val="006A677D"/>
    <w:rsid w:val="006A6A8B"/>
    <w:rsid w:val="006A6C54"/>
    <w:rsid w:val="006A6E66"/>
    <w:rsid w:val="006A73D9"/>
    <w:rsid w:val="006A74DE"/>
    <w:rsid w:val="006A76A9"/>
    <w:rsid w:val="006A7EF8"/>
    <w:rsid w:val="006B00A1"/>
    <w:rsid w:val="006B019E"/>
    <w:rsid w:val="006B02DC"/>
    <w:rsid w:val="006B02FA"/>
    <w:rsid w:val="006B049E"/>
    <w:rsid w:val="006B0765"/>
    <w:rsid w:val="006B077A"/>
    <w:rsid w:val="006B0B52"/>
    <w:rsid w:val="006B0D63"/>
    <w:rsid w:val="006B0EA7"/>
    <w:rsid w:val="006B0EFC"/>
    <w:rsid w:val="006B13F4"/>
    <w:rsid w:val="006B1571"/>
    <w:rsid w:val="006B210C"/>
    <w:rsid w:val="006B2443"/>
    <w:rsid w:val="006B24F8"/>
    <w:rsid w:val="006B293B"/>
    <w:rsid w:val="006B30A4"/>
    <w:rsid w:val="006B313C"/>
    <w:rsid w:val="006B3209"/>
    <w:rsid w:val="006B340E"/>
    <w:rsid w:val="006B3456"/>
    <w:rsid w:val="006B360A"/>
    <w:rsid w:val="006B38AD"/>
    <w:rsid w:val="006B3F35"/>
    <w:rsid w:val="006B4066"/>
    <w:rsid w:val="006B446C"/>
    <w:rsid w:val="006B4577"/>
    <w:rsid w:val="006B46B9"/>
    <w:rsid w:val="006B4C60"/>
    <w:rsid w:val="006B57C4"/>
    <w:rsid w:val="006B5AC3"/>
    <w:rsid w:val="006B5AC6"/>
    <w:rsid w:val="006B5D7E"/>
    <w:rsid w:val="006B5E80"/>
    <w:rsid w:val="006B63B7"/>
    <w:rsid w:val="006B6436"/>
    <w:rsid w:val="006B66AB"/>
    <w:rsid w:val="006B6742"/>
    <w:rsid w:val="006B6BB1"/>
    <w:rsid w:val="006B6F19"/>
    <w:rsid w:val="006B7611"/>
    <w:rsid w:val="006B789C"/>
    <w:rsid w:val="006B79B0"/>
    <w:rsid w:val="006B7A2B"/>
    <w:rsid w:val="006B7C83"/>
    <w:rsid w:val="006C0110"/>
    <w:rsid w:val="006C08C4"/>
    <w:rsid w:val="006C090C"/>
    <w:rsid w:val="006C0971"/>
    <w:rsid w:val="006C09C6"/>
    <w:rsid w:val="006C0C54"/>
    <w:rsid w:val="006C1117"/>
    <w:rsid w:val="006C11D2"/>
    <w:rsid w:val="006C1360"/>
    <w:rsid w:val="006C15C2"/>
    <w:rsid w:val="006C1E4E"/>
    <w:rsid w:val="006C1F69"/>
    <w:rsid w:val="006C2611"/>
    <w:rsid w:val="006C267E"/>
    <w:rsid w:val="006C29FF"/>
    <w:rsid w:val="006C2A15"/>
    <w:rsid w:val="006C2AA7"/>
    <w:rsid w:val="006C2AAD"/>
    <w:rsid w:val="006C2B5D"/>
    <w:rsid w:val="006C2EAC"/>
    <w:rsid w:val="006C2EFC"/>
    <w:rsid w:val="006C2F1D"/>
    <w:rsid w:val="006C2FD9"/>
    <w:rsid w:val="006C310E"/>
    <w:rsid w:val="006C318A"/>
    <w:rsid w:val="006C36EC"/>
    <w:rsid w:val="006C37F0"/>
    <w:rsid w:val="006C3AA3"/>
    <w:rsid w:val="006C3C98"/>
    <w:rsid w:val="006C3D49"/>
    <w:rsid w:val="006C3F9B"/>
    <w:rsid w:val="006C42E5"/>
    <w:rsid w:val="006C440E"/>
    <w:rsid w:val="006C486B"/>
    <w:rsid w:val="006C4A47"/>
    <w:rsid w:val="006C51C9"/>
    <w:rsid w:val="006C54D2"/>
    <w:rsid w:val="006C557F"/>
    <w:rsid w:val="006C5649"/>
    <w:rsid w:val="006C56BB"/>
    <w:rsid w:val="006C59F2"/>
    <w:rsid w:val="006C5A83"/>
    <w:rsid w:val="006C5C06"/>
    <w:rsid w:val="006C5CB3"/>
    <w:rsid w:val="006C5F6B"/>
    <w:rsid w:val="006C5F86"/>
    <w:rsid w:val="006C6023"/>
    <w:rsid w:val="006C610A"/>
    <w:rsid w:val="006C649C"/>
    <w:rsid w:val="006C6715"/>
    <w:rsid w:val="006C67CD"/>
    <w:rsid w:val="006C6ADD"/>
    <w:rsid w:val="006C6DF7"/>
    <w:rsid w:val="006C6E3F"/>
    <w:rsid w:val="006C71C2"/>
    <w:rsid w:val="006C79D6"/>
    <w:rsid w:val="006C7D01"/>
    <w:rsid w:val="006D0173"/>
    <w:rsid w:val="006D0585"/>
    <w:rsid w:val="006D05EC"/>
    <w:rsid w:val="006D060E"/>
    <w:rsid w:val="006D0674"/>
    <w:rsid w:val="006D0A27"/>
    <w:rsid w:val="006D0B42"/>
    <w:rsid w:val="006D0BC1"/>
    <w:rsid w:val="006D0C18"/>
    <w:rsid w:val="006D131C"/>
    <w:rsid w:val="006D1506"/>
    <w:rsid w:val="006D1AE9"/>
    <w:rsid w:val="006D1C87"/>
    <w:rsid w:val="006D2027"/>
    <w:rsid w:val="006D2286"/>
    <w:rsid w:val="006D2577"/>
    <w:rsid w:val="006D26BD"/>
    <w:rsid w:val="006D283F"/>
    <w:rsid w:val="006D2B6C"/>
    <w:rsid w:val="006D2EAF"/>
    <w:rsid w:val="006D302D"/>
    <w:rsid w:val="006D3864"/>
    <w:rsid w:val="006D3A2F"/>
    <w:rsid w:val="006D41FC"/>
    <w:rsid w:val="006D4217"/>
    <w:rsid w:val="006D4315"/>
    <w:rsid w:val="006D431A"/>
    <w:rsid w:val="006D4545"/>
    <w:rsid w:val="006D4676"/>
    <w:rsid w:val="006D480B"/>
    <w:rsid w:val="006D4C96"/>
    <w:rsid w:val="006D4F38"/>
    <w:rsid w:val="006D4F54"/>
    <w:rsid w:val="006D51FE"/>
    <w:rsid w:val="006D5282"/>
    <w:rsid w:val="006D52BB"/>
    <w:rsid w:val="006D5718"/>
    <w:rsid w:val="006D579A"/>
    <w:rsid w:val="006D5A1D"/>
    <w:rsid w:val="006D5BE1"/>
    <w:rsid w:val="006D6778"/>
    <w:rsid w:val="006D67D3"/>
    <w:rsid w:val="006D68DA"/>
    <w:rsid w:val="006D72F2"/>
    <w:rsid w:val="006D7446"/>
    <w:rsid w:val="006D74F5"/>
    <w:rsid w:val="006D76CC"/>
    <w:rsid w:val="006D772A"/>
    <w:rsid w:val="006D7A04"/>
    <w:rsid w:val="006D7B3E"/>
    <w:rsid w:val="006E003B"/>
    <w:rsid w:val="006E0077"/>
    <w:rsid w:val="006E035D"/>
    <w:rsid w:val="006E0411"/>
    <w:rsid w:val="006E0952"/>
    <w:rsid w:val="006E0C6B"/>
    <w:rsid w:val="006E0EF4"/>
    <w:rsid w:val="006E10FD"/>
    <w:rsid w:val="006E11BC"/>
    <w:rsid w:val="006E12B8"/>
    <w:rsid w:val="006E142B"/>
    <w:rsid w:val="006E1503"/>
    <w:rsid w:val="006E1769"/>
    <w:rsid w:val="006E17DB"/>
    <w:rsid w:val="006E1D7D"/>
    <w:rsid w:val="006E1EA9"/>
    <w:rsid w:val="006E1EDE"/>
    <w:rsid w:val="006E1F17"/>
    <w:rsid w:val="006E212C"/>
    <w:rsid w:val="006E23F9"/>
    <w:rsid w:val="006E24E9"/>
    <w:rsid w:val="006E2582"/>
    <w:rsid w:val="006E2806"/>
    <w:rsid w:val="006E2832"/>
    <w:rsid w:val="006E286A"/>
    <w:rsid w:val="006E2B63"/>
    <w:rsid w:val="006E2CB0"/>
    <w:rsid w:val="006E2CD3"/>
    <w:rsid w:val="006E2D60"/>
    <w:rsid w:val="006E2EA4"/>
    <w:rsid w:val="006E2EC1"/>
    <w:rsid w:val="006E2FB6"/>
    <w:rsid w:val="006E306F"/>
    <w:rsid w:val="006E307E"/>
    <w:rsid w:val="006E3465"/>
    <w:rsid w:val="006E348A"/>
    <w:rsid w:val="006E35CA"/>
    <w:rsid w:val="006E3698"/>
    <w:rsid w:val="006E3AB9"/>
    <w:rsid w:val="006E3AC0"/>
    <w:rsid w:val="006E3C2E"/>
    <w:rsid w:val="006E3D20"/>
    <w:rsid w:val="006E3D5C"/>
    <w:rsid w:val="006E45FE"/>
    <w:rsid w:val="006E464F"/>
    <w:rsid w:val="006E4688"/>
    <w:rsid w:val="006E4E8E"/>
    <w:rsid w:val="006E4FA7"/>
    <w:rsid w:val="006E52F3"/>
    <w:rsid w:val="006E5620"/>
    <w:rsid w:val="006E5BC8"/>
    <w:rsid w:val="006E5C61"/>
    <w:rsid w:val="006E60B0"/>
    <w:rsid w:val="006E64F6"/>
    <w:rsid w:val="006E6A0E"/>
    <w:rsid w:val="006E71CD"/>
    <w:rsid w:val="006E7469"/>
    <w:rsid w:val="006E7532"/>
    <w:rsid w:val="006E7A68"/>
    <w:rsid w:val="006E7EB1"/>
    <w:rsid w:val="006E7F0B"/>
    <w:rsid w:val="006F020A"/>
    <w:rsid w:val="006F053C"/>
    <w:rsid w:val="006F069B"/>
    <w:rsid w:val="006F0850"/>
    <w:rsid w:val="006F0973"/>
    <w:rsid w:val="006F0A4A"/>
    <w:rsid w:val="006F10F9"/>
    <w:rsid w:val="006F11C9"/>
    <w:rsid w:val="006F1238"/>
    <w:rsid w:val="006F1239"/>
    <w:rsid w:val="006F123D"/>
    <w:rsid w:val="006F13EF"/>
    <w:rsid w:val="006F14CD"/>
    <w:rsid w:val="006F1901"/>
    <w:rsid w:val="006F1971"/>
    <w:rsid w:val="006F1B65"/>
    <w:rsid w:val="006F248E"/>
    <w:rsid w:val="006F2693"/>
    <w:rsid w:val="006F27A4"/>
    <w:rsid w:val="006F2873"/>
    <w:rsid w:val="006F2910"/>
    <w:rsid w:val="006F2AEA"/>
    <w:rsid w:val="006F3069"/>
    <w:rsid w:val="006F32DB"/>
    <w:rsid w:val="006F333F"/>
    <w:rsid w:val="006F35E9"/>
    <w:rsid w:val="006F38EA"/>
    <w:rsid w:val="006F3942"/>
    <w:rsid w:val="006F3CC6"/>
    <w:rsid w:val="006F4268"/>
    <w:rsid w:val="006F4648"/>
    <w:rsid w:val="006F484A"/>
    <w:rsid w:val="006F48E7"/>
    <w:rsid w:val="006F4BF3"/>
    <w:rsid w:val="006F4D0E"/>
    <w:rsid w:val="006F4F83"/>
    <w:rsid w:val="006F4FA8"/>
    <w:rsid w:val="006F52B9"/>
    <w:rsid w:val="006F5616"/>
    <w:rsid w:val="006F57C9"/>
    <w:rsid w:val="006F5BCB"/>
    <w:rsid w:val="006F5C43"/>
    <w:rsid w:val="006F5D06"/>
    <w:rsid w:val="006F5F82"/>
    <w:rsid w:val="006F611A"/>
    <w:rsid w:val="006F6677"/>
    <w:rsid w:val="006F6B18"/>
    <w:rsid w:val="006F6F27"/>
    <w:rsid w:val="006F6FD9"/>
    <w:rsid w:val="006F7353"/>
    <w:rsid w:val="006F73E2"/>
    <w:rsid w:val="006F74D4"/>
    <w:rsid w:val="006F7A01"/>
    <w:rsid w:val="006F7A74"/>
    <w:rsid w:val="006F7B90"/>
    <w:rsid w:val="006F7DEB"/>
    <w:rsid w:val="006F7EA2"/>
    <w:rsid w:val="006F7FB3"/>
    <w:rsid w:val="00700240"/>
    <w:rsid w:val="007002FF"/>
    <w:rsid w:val="0070047C"/>
    <w:rsid w:val="007004A9"/>
    <w:rsid w:val="00700656"/>
    <w:rsid w:val="0070078D"/>
    <w:rsid w:val="00700B52"/>
    <w:rsid w:val="00700B71"/>
    <w:rsid w:val="00700C5B"/>
    <w:rsid w:val="00700F44"/>
    <w:rsid w:val="00700F56"/>
    <w:rsid w:val="00701191"/>
    <w:rsid w:val="007012E0"/>
    <w:rsid w:val="007014AB"/>
    <w:rsid w:val="0070166F"/>
    <w:rsid w:val="00701699"/>
    <w:rsid w:val="00701773"/>
    <w:rsid w:val="007017FF"/>
    <w:rsid w:val="00702287"/>
    <w:rsid w:val="00702417"/>
    <w:rsid w:val="00702535"/>
    <w:rsid w:val="0070283A"/>
    <w:rsid w:val="007028C8"/>
    <w:rsid w:val="007028D4"/>
    <w:rsid w:val="0070297D"/>
    <w:rsid w:val="00702C01"/>
    <w:rsid w:val="00702C0C"/>
    <w:rsid w:val="00702FE5"/>
    <w:rsid w:val="00703092"/>
    <w:rsid w:val="00703914"/>
    <w:rsid w:val="00703B06"/>
    <w:rsid w:val="00703DCC"/>
    <w:rsid w:val="00703DE9"/>
    <w:rsid w:val="00703E38"/>
    <w:rsid w:val="00703EF5"/>
    <w:rsid w:val="00703FD5"/>
    <w:rsid w:val="00703FF7"/>
    <w:rsid w:val="00704380"/>
    <w:rsid w:val="007045BC"/>
    <w:rsid w:val="007046C0"/>
    <w:rsid w:val="00704788"/>
    <w:rsid w:val="00705132"/>
    <w:rsid w:val="00705248"/>
    <w:rsid w:val="00705578"/>
    <w:rsid w:val="00705705"/>
    <w:rsid w:val="00705C0D"/>
    <w:rsid w:val="00705C1B"/>
    <w:rsid w:val="00706072"/>
    <w:rsid w:val="00706183"/>
    <w:rsid w:val="007063B7"/>
    <w:rsid w:val="00706404"/>
    <w:rsid w:val="0070658E"/>
    <w:rsid w:val="0070672F"/>
    <w:rsid w:val="007067AE"/>
    <w:rsid w:val="00706AAC"/>
    <w:rsid w:val="00706ADD"/>
    <w:rsid w:val="007072CD"/>
    <w:rsid w:val="007073DB"/>
    <w:rsid w:val="007073FA"/>
    <w:rsid w:val="00707553"/>
    <w:rsid w:val="00707AA3"/>
    <w:rsid w:val="0071008D"/>
    <w:rsid w:val="007100AF"/>
    <w:rsid w:val="007103DA"/>
    <w:rsid w:val="0071058C"/>
    <w:rsid w:val="0071071F"/>
    <w:rsid w:val="00711329"/>
    <w:rsid w:val="007114B4"/>
    <w:rsid w:val="00711A10"/>
    <w:rsid w:val="00711DDF"/>
    <w:rsid w:val="00712DBF"/>
    <w:rsid w:val="00713116"/>
    <w:rsid w:val="00713182"/>
    <w:rsid w:val="0071328F"/>
    <w:rsid w:val="00713BE5"/>
    <w:rsid w:val="00713C8A"/>
    <w:rsid w:val="00713C8D"/>
    <w:rsid w:val="00713FEC"/>
    <w:rsid w:val="007142DC"/>
    <w:rsid w:val="0071490C"/>
    <w:rsid w:val="00714912"/>
    <w:rsid w:val="00714BCC"/>
    <w:rsid w:val="00714E1D"/>
    <w:rsid w:val="00714E23"/>
    <w:rsid w:val="007156FA"/>
    <w:rsid w:val="00715B65"/>
    <w:rsid w:val="00715E22"/>
    <w:rsid w:val="00715F7E"/>
    <w:rsid w:val="0071639E"/>
    <w:rsid w:val="00716452"/>
    <w:rsid w:val="007169E5"/>
    <w:rsid w:val="00716A4C"/>
    <w:rsid w:val="00716C54"/>
    <w:rsid w:val="00716CC8"/>
    <w:rsid w:val="00716DA5"/>
    <w:rsid w:val="00716E40"/>
    <w:rsid w:val="007176F3"/>
    <w:rsid w:val="00717AEA"/>
    <w:rsid w:val="00717C0D"/>
    <w:rsid w:val="00717D16"/>
    <w:rsid w:val="00717F6B"/>
    <w:rsid w:val="00717FD3"/>
    <w:rsid w:val="00720311"/>
    <w:rsid w:val="007205FF"/>
    <w:rsid w:val="007207C5"/>
    <w:rsid w:val="0072084D"/>
    <w:rsid w:val="00720930"/>
    <w:rsid w:val="00720BC1"/>
    <w:rsid w:val="00720C68"/>
    <w:rsid w:val="00720CFA"/>
    <w:rsid w:val="007210AF"/>
    <w:rsid w:val="0072110F"/>
    <w:rsid w:val="007212AA"/>
    <w:rsid w:val="0072197D"/>
    <w:rsid w:val="00721AD6"/>
    <w:rsid w:val="00721AE7"/>
    <w:rsid w:val="00721D51"/>
    <w:rsid w:val="00721E01"/>
    <w:rsid w:val="00721FAE"/>
    <w:rsid w:val="00722380"/>
    <w:rsid w:val="00722865"/>
    <w:rsid w:val="00722A0F"/>
    <w:rsid w:val="00722B2D"/>
    <w:rsid w:val="00722B6E"/>
    <w:rsid w:val="00722BC0"/>
    <w:rsid w:val="00722C24"/>
    <w:rsid w:val="00723CBD"/>
    <w:rsid w:val="00723CE8"/>
    <w:rsid w:val="00723DAF"/>
    <w:rsid w:val="00723EC4"/>
    <w:rsid w:val="00723F8B"/>
    <w:rsid w:val="00723FAF"/>
    <w:rsid w:val="00724202"/>
    <w:rsid w:val="0072424F"/>
    <w:rsid w:val="00724A39"/>
    <w:rsid w:val="00724D18"/>
    <w:rsid w:val="00724EE3"/>
    <w:rsid w:val="00725061"/>
    <w:rsid w:val="00725076"/>
    <w:rsid w:val="007250A0"/>
    <w:rsid w:val="007251F4"/>
    <w:rsid w:val="00725AAD"/>
    <w:rsid w:val="00725C6A"/>
    <w:rsid w:val="00725EE4"/>
    <w:rsid w:val="00725EFA"/>
    <w:rsid w:val="00725FC1"/>
    <w:rsid w:val="007260B3"/>
    <w:rsid w:val="00726330"/>
    <w:rsid w:val="007263A3"/>
    <w:rsid w:val="0072676F"/>
    <w:rsid w:val="00726E52"/>
    <w:rsid w:val="00726EB5"/>
    <w:rsid w:val="00726ED0"/>
    <w:rsid w:val="00727286"/>
    <w:rsid w:val="0072741E"/>
    <w:rsid w:val="007275A3"/>
    <w:rsid w:val="00727C45"/>
    <w:rsid w:val="00727D48"/>
    <w:rsid w:val="00727D53"/>
    <w:rsid w:val="00727DBC"/>
    <w:rsid w:val="007302EE"/>
    <w:rsid w:val="0073030F"/>
    <w:rsid w:val="007304B9"/>
    <w:rsid w:val="0073066C"/>
    <w:rsid w:val="0073072C"/>
    <w:rsid w:val="007307EE"/>
    <w:rsid w:val="00730E63"/>
    <w:rsid w:val="00731106"/>
    <w:rsid w:val="00731159"/>
    <w:rsid w:val="007315EA"/>
    <w:rsid w:val="0073175E"/>
    <w:rsid w:val="00731791"/>
    <w:rsid w:val="00731830"/>
    <w:rsid w:val="00731838"/>
    <w:rsid w:val="00731BB7"/>
    <w:rsid w:val="00731FB9"/>
    <w:rsid w:val="0073220F"/>
    <w:rsid w:val="0073240B"/>
    <w:rsid w:val="0073259B"/>
    <w:rsid w:val="007328A6"/>
    <w:rsid w:val="00732952"/>
    <w:rsid w:val="00732B8A"/>
    <w:rsid w:val="00732C63"/>
    <w:rsid w:val="00732F29"/>
    <w:rsid w:val="00732F41"/>
    <w:rsid w:val="00732FBD"/>
    <w:rsid w:val="007330DB"/>
    <w:rsid w:val="007332C1"/>
    <w:rsid w:val="00733554"/>
    <w:rsid w:val="00733654"/>
    <w:rsid w:val="007336D4"/>
    <w:rsid w:val="0073395A"/>
    <w:rsid w:val="00733A21"/>
    <w:rsid w:val="00733AE5"/>
    <w:rsid w:val="00733B47"/>
    <w:rsid w:val="00733B8D"/>
    <w:rsid w:val="00733BDB"/>
    <w:rsid w:val="0073423B"/>
    <w:rsid w:val="007346C4"/>
    <w:rsid w:val="00734CBD"/>
    <w:rsid w:val="00734ECB"/>
    <w:rsid w:val="00735025"/>
    <w:rsid w:val="00735177"/>
    <w:rsid w:val="007354ED"/>
    <w:rsid w:val="0073560B"/>
    <w:rsid w:val="00735857"/>
    <w:rsid w:val="00736376"/>
    <w:rsid w:val="007364B7"/>
    <w:rsid w:val="00736BF3"/>
    <w:rsid w:val="00736E32"/>
    <w:rsid w:val="00736E77"/>
    <w:rsid w:val="0073716E"/>
    <w:rsid w:val="00737464"/>
    <w:rsid w:val="00737615"/>
    <w:rsid w:val="00737F31"/>
    <w:rsid w:val="00737FD1"/>
    <w:rsid w:val="0074011A"/>
    <w:rsid w:val="00740312"/>
    <w:rsid w:val="00740A7D"/>
    <w:rsid w:val="00740BE7"/>
    <w:rsid w:val="00740C8F"/>
    <w:rsid w:val="00740C9B"/>
    <w:rsid w:val="00740D68"/>
    <w:rsid w:val="0074130C"/>
    <w:rsid w:val="00741515"/>
    <w:rsid w:val="00741A3C"/>
    <w:rsid w:val="00741A70"/>
    <w:rsid w:val="00741B9D"/>
    <w:rsid w:val="00741C5F"/>
    <w:rsid w:val="00741D41"/>
    <w:rsid w:val="007421F8"/>
    <w:rsid w:val="007427E6"/>
    <w:rsid w:val="00742BCD"/>
    <w:rsid w:val="00742BFA"/>
    <w:rsid w:val="00742C3B"/>
    <w:rsid w:val="00742EC3"/>
    <w:rsid w:val="00742F69"/>
    <w:rsid w:val="00742FE6"/>
    <w:rsid w:val="0074314E"/>
    <w:rsid w:val="007433F2"/>
    <w:rsid w:val="007437B4"/>
    <w:rsid w:val="00743B81"/>
    <w:rsid w:val="0074402B"/>
    <w:rsid w:val="00744115"/>
    <w:rsid w:val="00744B97"/>
    <w:rsid w:val="00745375"/>
    <w:rsid w:val="00745669"/>
    <w:rsid w:val="007456D9"/>
    <w:rsid w:val="0074580B"/>
    <w:rsid w:val="0074597F"/>
    <w:rsid w:val="007459F6"/>
    <w:rsid w:val="00745BEE"/>
    <w:rsid w:val="0074616F"/>
    <w:rsid w:val="00746984"/>
    <w:rsid w:val="00746ACD"/>
    <w:rsid w:val="00746AEB"/>
    <w:rsid w:val="00746CDA"/>
    <w:rsid w:val="007472C0"/>
    <w:rsid w:val="00747478"/>
    <w:rsid w:val="00747F74"/>
    <w:rsid w:val="00747F79"/>
    <w:rsid w:val="00750534"/>
    <w:rsid w:val="007507E3"/>
    <w:rsid w:val="00750968"/>
    <w:rsid w:val="00750EC2"/>
    <w:rsid w:val="00750EC7"/>
    <w:rsid w:val="007511F9"/>
    <w:rsid w:val="00751400"/>
    <w:rsid w:val="00751752"/>
    <w:rsid w:val="00751776"/>
    <w:rsid w:val="0075223C"/>
    <w:rsid w:val="0075281C"/>
    <w:rsid w:val="007529EF"/>
    <w:rsid w:val="00752A93"/>
    <w:rsid w:val="00752AF5"/>
    <w:rsid w:val="00752C5C"/>
    <w:rsid w:val="00752DE4"/>
    <w:rsid w:val="00752F37"/>
    <w:rsid w:val="007530E9"/>
    <w:rsid w:val="00753126"/>
    <w:rsid w:val="00753463"/>
    <w:rsid w:val="007538C0"/>
    <w:rsid w:val="00753914"/>
    <w:rsid w:val="0075438E"/>
    <w:rsid w:val="00754398"/>
    <w:rsid w:val="0075439F"/>
    <w:rsid w:val="0075463F"/>
    <w:rsid w:val="0075495A"/>
    <w:rsid w:val="00754CA3"/>
    <w:rsid w:val="007550CC"/>
    <w:rsid w:val="007555A0"/>
    <w:rsid w:val="007556FA"/>
    <w:rsid w:val="00755864"/>
    <w:rsid w:val="00755989"/>
    <w:rsid w:val="00755B84"/>
    <w:rsid w:val="00755DC3"/>
    <w:rsid w:val="00756113"/>
    <w:rsid w:val="00756344"/>
    <w:rsid w:val="0075676B"/>
    <w:rsid w:val="007568CB"/>
    <w:rsid w:val="00756911"/>
    <w:rsid w:val="00756B82"/>
    <w:rsid w:val="0075733F"/>
    <w:rsid w:val="0075734F"/>
    <w:rsid w:val="00757670"/>
    <w:rsid w:val="00757781"/>
    <w:rsid w:val="00757E80"/>
    <w:rsid w:val="007600B5"/>
    <w:rsid w:val="007600CD"/>
    <w:rsid w:val="00760272"/>
    <w:rsid w:val="00760333"/>
    <w:rsid w:val="00760720"/>
    <w:rsid w:val="00761304"/>
    <w:rsid w:val="00761898"/>
    <w:rsid w:val="00761A74"/>
    <w:rsid w:val="00761AB4"/>
    <w:rsid w:val="00761B90"/>
    <w:rsid w:val="00761BFE"/>
    <w:rsid w:val="00761F62"/>
    <w:rsid w:val="007622CB"/>
    <w:rsid w:val="00762473"/>
    <w:rsid w:val="007629A0"/>
    <w:rsid w:val="00762A72"/>
    <w:rsid w:val="00762B89"/>
    <w:rsid w:val="00762CC0"/>
    <w:rsid w:val="00763150"/>
    <w:rsid w:val="007631F6"/>
    <w:rsid w:val="00763269"/>
    <w:rsid w:val="0076343B"/>
    <w:rsid w:val="007638B9"/>
    <w:rsid w:val="00763A9E"/>
    <w:rsid w:val="00763C35"/>
    <w:rsid w:val="00763CB2"/>
    <w:rsid w:val="00763DDD"/>
    <w:rsid w:val="00764117"/>
    <w:rsid w:val="00764209"/>
    <w:rsid w:val="0076493D"/>
    <w:rsid w:val="00764BFD"/>
    <w:rsid w:val="00764C55"/>
    <w:rsid w:val="00764F31"/>
    <w:rsid w:val="00765067"/>
    <w:rsid w:val="0076525A"/>
    <w:rsid w:val="0076538A"/>
    <w:rsid w:val="00765826"/>
    <w:rsid w:val="00765907"/>
    <w:rsid w:val="00765FB3"/>
    <w:rsid w:val="007660BE"/>
    <w:rsid w:val="0076618D"/>
    <w:rsid w:val="007663AA"/>
    <w:rsid w:val="007664EE"/>
    <w:rsid w:val="0076657E"/>
    <w:rsid w:val="00766BF2"/>
    <w:rsid w:val="00766FA3"/>
    <w:rsid w:val="007670A1"/>
    <w:rsid w:val="0076716D"/>
    <w:rsid w:val="007671B8"/>
    <w:rsid w:val="00767228"/>
    <w:rsid w:val="0076778D"/>
    <w:rsid w:val="00767809"/>
    <w:rsid w:val="00767AC2"/>
    <w:rsid w:val="00767E28"/>
    <w:rsid w:val="007701C9"/>
    <w:rsid w:val="007706A2"/>
    <w:rsid w:val="007707E0"/>
    <w:rsid w:val="0077088C"/>
    <w:rsid w:val="00770BE2"/>
    <w:rsid w:val="0077123B"/>
    <w:rsid w:val="00771488"/>
    <w:rsid w:val="007716A0"/>
    <w:rsid w:val="0077178E"/>
    <w:rsid w:val="007718AB"/>
    <w:rsid w:val="00771938"/>
    <w:rsid w:val="00771F63"/>
    <w:rsid w:val="0077203E"/>
    <w:rsid w:val="00772BDD"/>
    <w:rsid w:val="00773289"/>
    <w:rsid w:val="007733D6"/>
    <w:rsid w:val="00773420"/>
    <w:rsid w:val="00773484"/>
    <w:rsid w:val="00773854"/>
    <w:rsid w:val="00774494"/>
    <w:rsid w:val="007749BF"/>
    <w:rsid w:val="00774A2E"/>
    <w:rsid w:val="00775191"/>
    <w:rsid w:val="007754AF"/>
    <w:rsid w:val="00775644"/>
    <w:rsid w:val="007757F1"/>
    <w:rsid w:val="00775CF6"/>
    <w:rsid w:val="00776038"/>
    <w:rsid w:val="007764C8"/>
    <w:rsid w:val="007766DF"/>
    <w:rsid w:val="007774A9"/>
    <w:rsid w:val="00777962"/>
    <w:rsid w:val="00777C4B"/>
    <w:rsid w:val="00777E67"/>
    <w:rsid w:val="00777FF2"/>
    <w:rsid w:val="0078033B"/>
    <w:rsid w:val="007804E0"/>
    <w:rsid w:val="0078052F"/>
    <w:rsid w:val="007805FD"/>
    <w:rsid w:val="00780C1F"/>
    <w:rsid w:val="00780CA5"/>
    <w:rsid w:val="007814D5"/>
    <w:rsid w:val="00781765"/>
    <w:rsid w:val="00781A01"/>
    <w:rsid w:val="00781D34"/>
    <w:rsid w:val="00781DE3"/>
    <w:rsid w:val="00781F15"/>
    <w:rsid w:val="007821FE"/>
    <w:rsid w:val="00782308"/>
    <w:rsid w:val="00782521"/>
    <w:rsid w:val="007825D1"/>
    <w:rsid w:val="00782692"/>
    <w:rsid w:val="00782849"/>
    <w:rsid w:val="00782A18"/>
    <w:rsid w:val="00782C25"/>
    <w:rsid w:val="00782D72"/>
    <w:rsid w:val="00782DCF"/>
    <w:rsid w:val="0078309E"/>
    <w:rsid w:val="00783198"/>
    <w:rsid w:val="007836D0"/>
    <w:rsid w:val="00783746"/>
    <w:rsid w:val="00783848"/>
    <w:rsid w:val="0078393B"/>
    <w:rsid w:val="00783A09"/>
    <w:rsid w:val="00783A1C"/>
    <w:rsid w:val="00783A9D"/>
    <w:rsid w:val="007840A0"/>
    <w:rsid w:val="007842E8"/>
    <w:rsid w:val="00784709"/>
    <w:rsid w:val="0078470D"/>
    <w:rsid w:val="00784766"/>
    <w:rsid w:val="00784BE7"/>
    <w:rsid w:val="00784E5D"/>
    <w:rsid w:val="00784E6B"/>
    <w:rsid w:val="00785308"/>
    <w:rsid w:val="0078549E"/>
    <w:rsid w:val="007856A5"/>
    <w:rsid w:val="00785953"/>
    <w:rsid w:val="0078599C"/>
    <w:rsid w:val="00785F75"/>
    <w:rsid w:val="00785F8A"/>
    <w:rsid w:val="0078601C"/>
    <w:rsid w:val="00786053"/>
    <w:rsid w:val="007862BA"/>
    <w:rsid w:val="00786344"/>
    <w:rsid w:val="00786526"/>
    <w:rsid w:val="00786543"/>
    <w:rsid w:val="00786655"/>
    <w:rsid w:val="00786685"/>
    <w:rsid w:val="0078680F"/>
    <w:rsid w:val="00786845"/>
    <w:rsid w:val="00786980"/>
    <w:rsid w:val="00786B91"/>
    <w:rsid w:val="00786C98"/>
    <w:rsid w:val="00786D51"/>
    <w:rsid w:val="00786FA5"/>
    <w:rsid w:val="00786FDC"/>
    <w:rsid w:val="00787152"/>
    <w:rsid w:val="00787316"/>
    <w:rsid w:val="00787406"/>
    <w:rsid w:val="00787569"/>
    <w:rsid w:val="007876F0"/>
    <w:rsid w:val="00787C50"/>
    <w:rsid w:val="0079057C"/>
    <w:rsid w:val="00790628"/>
    <w:rsid w:val="0079092C"/>
    <w:rsid w:val="00790C2F"/>
    <w:rsid w:val="00790DA7"/>
    <w:rsid w:val="00790EA6"/>
    <w:rsid w:val="007912F5"/>
    <w:rsid w:val="00791532"/>
    <w:rsid w:val="007915C8"/>
    <w:rsid w:val="00791723"/>
    <w:rsid w:val="00791860"/>
    <w:rsid w:val="007918C2"/>
    <w:rsid w:val="00791C7C"/>
    <w:rsid w:val="00791CB8"/>
    <w:rsid w:val="00791D5D"/>
    <w:rsid w:val="00791DCD"/>
    <w:rsid w:val="00791DFE"/>
    <w:rsid w:val="00791E6B"/>
    <w:rsid w:val="00792240"/>
    <w:rsid w:val="00792472"/>
    <w:rsid w:val="007924D6"/>
    <w:rsid w:val="007927F1"/>
    <w:rsid w:val="00792A4B"/>
    <w:rsid w:val="00792DD5"/>
    <w:rsid w:val="00792F11"/>
    <w:rsid w:val="0079313C"/>
    <w:rsid w:val="00793191"/>
    <w:rsid w:val="00793258"/>
    <w:rsid w:val="007938D9"/>
    <w:rsid w:val="00793960"/>
    <w:rsid w:val="0079398A"/>
    <w:rsid w:val="00793A77"/>
    <w:rsid w:val="00793B0D"/>
    <w:rsid w:val="00793CA9"/>
    <w:rsid w:val="00793CB3"/>
    <w:rsid w:val="00793E2F"/>
    <w:rsid w:val="00793EF2"/>
    <w:rsid w:val="00793EF4"/>
    <w:rsid w:val="007943A8"/>
    <w:rsid w:val="007944B4"/>
    <w:rsid w:val="00794660"/>
    <w:rsid w:val="00794B96"/>
    <w:rsid w:val="00794D25"/>
    <w:rsid w:val="00794ECE"/>
    <w:rsid w:val="00794F56"/>
    <w:rsid w:val="007950D7"/>
    <w:rsid w:val="00795396"/>
    <w:rsid w:val="00795853"/>
    <w:rsid w:val="00795BEB"/>
    <w:rsid w:val="00795C11"/>
    <w:rsid w:val="00795F66"/>
    <w:rsid w:val="007963B6"/>
    <w:rsid w:val="00796501"/>
    <w:rsid w:val="00796789"/>
    <w:rsid w:val="007969F4"/>
    <w:rsid w:val="00796BC8"/>
    <w:rsid w:val="00796E87"/>
    <w:rsid w:val="00796F85"/>
    <w:rsid w:val="0079718F"/>
    <w:rsid w:val="00797309"/>
    <w:rsid w:val="007975AF"/>
    <w:rsid w:val="0079760C"/>
    <w:rsid w:val="00797A3C"/>
    <w:rsid w:val="00797B20"/>
    <w:rsid w:val="00797D9D"/>
    <w:rsid w:val="007A05C8"/>
    <w:rsid w:val="007A06E3"/>
    <w:rsid w:val="007A096F"/>
    <w:rsid w:val="007A09F0"/>
    <w:rsid w:val="007A0A6C"/>
    <w:rsid w:val="007A0E95"/>
    <w:rsid w:val="007A0F91"/>
    <w:rsid w:val="007A0F9F"/>
    <w:rsid w:val="007A10E8"/>
    <w:rsid w:val="007A112F"/>
    <w:rsid w:val="007A1146"/>
    <w:rsid w:val="007A13E6"/>
    <w:rsid w:val="007A15E1"/>
    <w:rsid w:val="007A163A"/>
    <w:rsid w:val="007A1794"/>
    <w:rsid w:val="007A1A54"/>
    <w:rsid w:val="007A1C0C"/>
    <w:rsid w:val="007A1E4D"/>
    <w:rsid w:val="007A1E5A"/>
    <w:rsid w:val="007A228C"/>
    <w:rsid w:val="007A23DA"/>
    <w:rsid w:val="007A2748"/>
    <w:rsid w:val="007A2A02"/>
    <w:rsid w:val="007A2A58"/>
    <w:rsid w:val="007A2CAA"/>
    <w:rsid w:val="007A2ED4"/>
    <w:rsid w:val="007A31DC"/>
    <w:rsid w:val="007A33C6"/>
    <w:rsid w:val="007A36AF"/>
    <w:rsid w:val="007A36B2"/>
    <w:rsid w:val="007A3B27"/>
    <w:rsid w:val="007A3D2E"/>
    <w:rsid w:val="007A3DE8"/>
    <w:rsid w:val="007A3F45"/>
    <w:rsid w:val="007A4163"/>
    <w:rsid w:val="007A44DC"/>
    <w:rsid w:val="007A4685"/>
    <w:rsid w:val="007A473A"/>
    <w:rsid w:val="007A49D7"/>
    <w:rsid w:val="007A4CC7"/>
    <w:rsid w:val="007A4EBA"/>
    <w:rsid w:val="007A4EDE"/>
    <w:rsid w:val="007A50EB"/>
    <w:rsid w:val="007A5140"/>
    <w:rsid w:val="007A527F"/>
    <w:rsid w:val="007A53E3"/>
    <w:rsid w:val="007A55ED"/>
    <w:rsid w:val="007A56DB"/>
    <w:rsid w:val="007A58D9"/>
    <w:rsid w:val="007A5F0D"/>
    <w:rsid w:val="007A62F8"/>
    <w:rsid w:val="007A64E8"/>
    <w:rsid w:val="007A67E4"/>
    <w:rsid w:val="007A6A07"/>
    <w:rsid w:val="007A6A39"/>
    <w:rsid w:val="007A6E32"/>
    <w:rsid w:val="007A704E"/>
    <w:rsid w:val="007A71D1"/>
    <w:rsid w:val="007A7515"/>
    <w:rsid w:val="007A771A"/>
    <w:rsid w:val="007A7790"/>
    <w:rsid w:val="007A79C2"/>
    <w:rsid w:val="007A7A52"/>
    <w:rsid w:val="007A7CF9"/>
    <w:rsid w:val="007A7DB6"/>
    <w:rsid w:val="007B0223"/>
    <w:rsid w:val="007B02D4"/>
    <w:rsid w:val="007B079B"/>
    <w:rsid w:val="007B08D9"/>
    <w:rsid w:val="007B09EA"/>
    <w:rsid w:val="007B0D86"/>
    <w:rsid w:val="007B0E64"/>
    <w:rsid w:val="007B179F"/>
    <w:rsid w:val="007B17EB"/>
    <w:rsid w:val="007B18B2"/>
    <w:rsid w:val="007B1A46"/>
    <w:rsid w:val="007B1F03"/>
    <w:rsid w:val="007B1F4B"/>
    <w:rsid w:val="007B21E9"/>
    <w:rsid w:val="007B255B"/>
    <w:rsid w:val="007B2B77"/>
    <w:rsid w:val="007B2BC5"/>
    <w:rsid w:val="007B2FE3"/>
    <w:rsid w:val="007B306E"/>
    <w:rsid w:val="007B334F"/>
    <w:rsid w:val="007B33A5"/>
    <w:rsid w:val="007B39E5"/>
    <w:rsid w:val="007B3B4F"/>
    <w:rsid w:val="007B3FBA"/>
    <w:rsid w:val="007B407D"/>
    <w:rsid w:val="007B4249"/>
    <w:rsid w:val="007B448D"/>
    <w:rsid w:val="007B46C9"/>
    <w:rsid w:val="007B4785"/>
    <w:rsid w:val="007B4A35"/>
    <w:rsid w:val="007B51BE"/>
    <w:rsid w:val="007B51D1"/>
    <w:rsid w:val="007B5474"/>
    <w:rsid w:val="007B5733"/>
    <w:rsid w:val="007B586D"/>
    <w:rsid w:val="007B5A9A"/>
    <w:rsid w:val="007B5F90"/>
    <w:rsid w:val="007B6002"/>
    <w:rsid w:val="007B60C5"/>
    <w:rsid w:val="007B60F3"/>
    <w:rsid w:val="007B6833"/>
    <w:rsid w:val="007B6869"/>
    <w:rsid w:val="007B6BE8"/>
    <w:rsid w:val="007B723F"/>
    <w:rsid w:val="007B725E"/>
    <w:rsid w:val="007B793B"/>
    <w:rsid w:val="007B7D42"/>
    <w:rsid w:val="007B7F87"/>
    <w:rsid w:val="007C050C"/>
    <w:rsid w:val="007C06F3"/>
    <w:rsid w:val="007C0A50"/>
    <w:rsid w:val="007C0CD5"/>
    <w:rsid w:val="007C0CE6"/>
    <w:rsid w:val="007C1193"/>
    <w:rsid w:val="007C170F"/>
    <w:rsid w:val="007C176A"/>
    <w:rsid w:val="007C19A5"/>
    <w:rsid w:val="007C1E03"/>
    <w:rsid w:val="007C20A6"/>
    <w:rsid w:val="007C22F0"/>
    <w:rsid w:val="007C2647"/>
    <w:rsid w:val="007C2903"/>
    <w:rsid w:val="007C2AA1"/>
    <w:rsid w:val="007C2D0A"/>
    <w:rsid w:val="007C2E49"/>
    <w:rsid w:val="007C32F6"/>
    <w:rsid w:val="007C3679"/>
    <w:rsid w:val="007C381E"/>
    <w:rsid w:val="007C394E"/>
    <w:rsid w:val="007C3CAD"/>
    <w:rsid w:val="007C3F2D"/>
    <w:rsid w:val="007C4035"/>
    <w:rsid w:val="007C4285"/>
    <w:rsid w:val="007C45E0"/>
    <w:rsid w:val="007C4A47"/>
    <w:rsid w:val="007C4A54"/>
    <w:rsid w:val="007C4CB8"/>
    <w:rsid w:val="007C4F0F"/>
    <w:rsid w:val="007C519A"/>
    <w:rsid w:val="007C5331"/>
    <w:rsid w:val="007C54D9"/>
    <w:rsid w:val="007C54DA"/>
    <w:rsid w:val="007C5877"/>
    <w:rsid w:val="007C5931"/>
    <w:rsid w:val="007C5AC5"/>
    <w:rsid w:val="007C5BC2"/>
    <w:rsid w:val="007C5E09"/>
    <w:rsid w:val="007C6A24"/>
    <w:rsid w:val="007C6B01"/>
    <w:rsid w:val="007C6DE5"/>
    <w:rsid w:val="007C6E69"/>
    <w:rsid w:val="007C7047"/>
    <w:rsid w:val="007C74DF"/>
    <w:rsid w:val="007C7818"/>
    <w:rsid w:val="007C7ACA"/>
    <w:rsid w:val="007C7ADD"/>
    <w:rsid w:val="007C7E2A"/>
    <w:rsid w:val="007D0060"/>
    <w:rsid w:val="007D02B0"/>
    <w:rsid w:val="007D0424"/>
    <w:rsid w:val="007D06BF"/>
    <w:rsid w:val="007D0D16"/>
    <w:rsid w:val="007D0FA1"/>
    <w:rsid w:val="007D1557"/>
    <w:rsid w:val="007D1703"/>
    <w:rsid w:val="007D1779"/>
    <w:rsid w:val="007D1889"/>
    <w:rsid w:val="007D1FA5"/>
    <w:rsid w:val="007D2061"/>
    <w:rsid w:val="007D22FD"/>
    <w:rsid w:val="007D276E"/>
    <w:rsid w:val="007D2A87"/>
    <w:rsid w:val="007D2CAB"/>
    <w:rsid w:val="007D327B"/>
    <w:rsid w:val="007D3605"/>
    <w:rsid w:val="007D3608"/>
    <w:rsid w:val="007D395C"/>
    <w:rsid w:val="007D3A3D"/>
    <w:rsid w:val="007D3C07"/>
    <w:rsid w:val="007D4301"/>
    <w:rsid w:val="007D4441"/>
    <w:rsid w:val="007D445F"/>
    <w:rsid w:val="007D467F"/>
    <w:rsid w:val="007D47AB"/>
    <w:rsid w:val="007D49BA"/>
    <w:rsid w:val="007D4B00"/>
    <w:rsid w:val="007D5474"/>
    <w:rsid w:val="007D5BEB"/>
    <w:rsid w:val="007D5E17"/>
    <w:rsid w:val="007D6027"/>
    <w:rsid w:val="007D61C8"/>
    <w:rsid w:val="007D6311"/>
    <w:rsid w:val="007D65E7"/>
    <w:rsid w:val="007D698D"/>
    <w:rsid w:val="007D6A5D"/>
    <w:rsid w:val="007D6AEE"/>
    <w:rsid w:val="007D7465"/>
    <w:rsid w:val="007D7492"/>
    <w:rsid w:val="007D750F"/>
    <w:rsid w:val="007D7E21"/>
    <w:rsid w:val="007D7FB6"/>
    <w:rsid w:val="007E07AD"/>
    <w:rsid w:val="007E08B3"/>
    <w:rsid w:val="007E095D"/>
    <w:rsid w:val="007E09B9"/>
    <w:rsid w:val="007E0AF7"/>
    <w:rsid w:val="007E0BC8"/>
    <w:rsid w:val="007E0C6A"/>
    <w:rsid w:val="007E0D90"/>
    <w:rsid w:val="007E0DAA"/>
    <w:rsid w:val="007E105D"/>
    <w:rsid w:val="007E10EB"/>
    <w:rsid w:val="007E1656"/>
    <w:rsid w:val="007E16B5"/>
    <w:rsid w:val="007E16E6"/>
    <w:rsid w:val="007E17A0"/>
    <w:rsid w:val="007E1905"/>
    <w:rsid w:val="007E1E03"/>
    <w:rsid w:val="007E22E9"/>
    <w:rsid w:val="007E2419"/>
    <w:rsid w:val="007E295A"/>
    <w:rsid w:val="007E2CE1"/>
    <w:rsid w:val="007E2EDC"/>
    <w:rsid w:val="007E3296"/>
    <w:rsid w:val="007E3475"/>
    <w:rsid w:val="007E3796"/>
    <w:rsid w:val="007E3E90"/>
    <w:rsid w:val="007E439D"/>
    <w:rsid w:val="007E44BB"/>
    <w:rsid w:val="007E4815"/>
    <w:rsid w:val="007E4BB1"/>
    <w:rsid w:val="007E4C85"/>
    <w:rsid w:val="007E5105"/>
    <w:rsid w:val="007E5173"/>
    <w:rsid w:val="007E52D1"/>
    <w:rsid w:val="007E531A"/>
    <w:rsid w:val="007E57FA"/>
    <w:rsid w:val="007E5C57"/>
    <w:rsid w:val="007E5DA0"/>
    <w:rsid w:val="007E5E42"/>
    <w:rsid w:val="007E5F30"/>
    <w:rsid w:val="007E6139"/>
    <w:rsid w:val="007E6193"/>
    <w:rsid w:val="007E6441"/>
    <w:rsid w:val="007E648A"/>
    <w:rsid w:val="007E661E"/>
    <w:rsid w:val="007E67B4"/>
    <w:rsid w:val="007E67DB"/>
    <w:rsid w:val="007E6A84"/>
    <w:rsid w:val="007E6B86"/>
    <w:rsid w:val="007E7063"/>
    <w:rsid w:val="007E71B9"/>
    <w:rsid w:val="007E74DF"/>
    <w:rsid w:val="007E750D"/>
    <w:rsid w:val="007E7549"/>
    <w:rsid w:val="007E756F"/>
    <w:rsid w:val="007E766B"/>
    <w:rsid w:val="007E7743"/>
    <w:rsid w:val="007F02C3"/>
    <w:rsid w:val="007F06A6"/>
    <w:rsid w:val="007F0755"/>
    <w:rsid w:val="007F0AB0"/>
    <w:rsid w:val="007F0CFA"/>
    <w:rsid w:val="007F1855"/>
    <w:rsid w:val="007F1B0D"/>
    <w:rsid w:val="007F1D99"/>
    <w:rsid w:val="007F1DEF"/>
    <w:rsid w:val="007F2589"/>
    <w:rsid w:val="007F261E"/>
    <w:rsid w:val="007F2695"/>
    <w:rsid w:val="007F2726"/>
    <w:rsid w:val="007F2796"/>
    <w:rsid w:val="007F2988"/>
    <w:rsid w:val="007F2BDA"/>
    <w:rsid w:val="007F30EE"/>
    <w:rsid w:val="007F3146"/>
    <w:rsid w:val="007F33C8"/>
    <w:rsid w:val="007F39D1"/>
    <w:rsid w:val="007F3B0A"/>
    <w:rsid w:val="007F41AC"/>
    <w:rsid w:val="007F41EE"/>
    <w:rsid w:val="007F452C"/>
    <w:rsid w:val="007F4698"/>
    <w:rsid w:val="007F4723"/>
    <w:rsid w:val="007F4990"/>
    <w:rsid w:val="007F49C9"/>
    <w:rsid w:val="007F4A10"/>
    <w:rsid w:val="007F4AE0"/>
    <w:rsid w:val="007F4FF3"/>
    <w:rsid w:val="007F51FF"/>
    <w:rsid w:val="007F5591"/>
    <w:rsid w:val="007F5A15"/>
    <w:rsid w:val="007F5DE7"/>
    <w:rsid w:val="007F5FE7"/>
    <w:rsid w:val="007F614E"/>
    <w:rsid w:val="007F632F"/>
    <w:rsid w:val="007F638A"/>
    <w:rsid w:val="007F6A40"/>
    <w:rsid w:val="007F6BC5"/>
    <w:rsid w:val="007F7027"/>
    <w:rsid w:val="007F7159"/>
    <w:rsid w:val="007F716E"/>
    <w:rsid w:val="007F7268"/>
    <w:rsid w:val="007F7335"/>
    <w:rsid w:val="007F750E"/>
    <w:rsid w:val="007F78D3"/>
    <w:rsid w:val="008009D1"/>
    <w:rsid w:val="00800B9A"/>
    <w:rsid w:val="00800CD0"/>
    <w:rsid w:val="00800CD1"/>
    <w:rsid w:val="00800D9C"/>
    <w:rsid w:val="00801226"/>
    <w:rsid w:val="00801257"/>
    <w:rsid w:val="008013AE"/>
    <w:rsid w:val="008014F6"/>
    <w:rsid w:val="00801820"/>
    <w:rsid w:val="00801912"/>
    <w:rsid w:val="00801984"/>
    <w:rsid w:val="00801BB6"/>
    <w:rsid w:val="00802482"/>
    <w:rsid w:val="008024A7"/>
    <w:rsid w:val="008025FA"/>
    <w:rsid w:val="0080260F"/>
    <w:rsid w:val="00802DBA"/>
    <w:rsid w:val="008030A3"/>
    <w:rsid w:val="00804004"/>
    <w:rsid w:val="008042FE"/>
    <w:rsid w:val="008044AA"/>
    <w:rsid w:val="008046A2"/>
    <w:rsid w:val="008059A0"/>
    <w:rsid w:val="00805F7E"/>
    <w:rsid w:val="008060C9"/>
    <w:rsid w:val="008066A3"/>
    <w:rsid w:val="00806711"/>
    <w:rsid w:val="0080671D"/>
    <w:rsid w:val="0080698C"/>
    <w:rsid w:val="00806A9A"/>
    <w:rsid w:val="00806B01"/>
    <w:rsid w:val="0080747E"/>
    <w:rsid w:val="00807912"/>
    <w:rsid w:val="00807A4D"/>
    <w:rsid w:val="00807AC9"/>
    <w:rsid w:val="00807D6D"/>
    <w:rsid w:val="0081056B"/>
    <w:rsid w:val="00810638"/>
    <w:rsid w:val="0081089B"/>
    <w:rsid w:val="008112D7"/>
    <w:rsid w:val="00811516"/>
    <w:rsid w:val="008117C7"/>
    <w:rsid w:val="00811DEE"/>
    <w:rsid w:val="00811E44"/>
    <w:rsid w:val="00812120"/>
    <w:rsid w:val="00812302"/>
    <w:rsid w:val="0081250A"/>
    <w:rsid w:val="00812C27"/>
    <w:rsid w:val="00812C2D"/>
    <w:rsid w:val="00812C43"/>
    <w:rsid w:val="00812D78"/>
    <w:rsid w:val="00813206"/>
    <w:rsid w:val="00813406"/>
    <w:rsid w:val="008134DF"/>
    <w:rsid w:val="00813628"/>
    <w:rsid w:val="0081389A"/>
    <w:rsid w:val="00814011"/>
    <w:rsid w:val="008144AD"/>
    <w:rsid w:val="00814A2B"/>
    <w:rsid w:val="00814B7B"/>
    <w:rsid w:val="00814BFA"/>
    <w:rsid w:val="00814CBF"/>
    <w:rsid w:val="00814D59"/>
    <w:rsid w:val="00814D7D"/>
    <w:rsid w:val="00814F22"/>
    <w:rsid w:val="00814F36"/>
    <w:rsid w:val="00814FA8"/>
    <w:rsid w:val="00815172"/>
    <w:rsid w:val="0081543E"/>
    <w:rsid w:val="008154F9"/>
    <w:rsid w:val="00815501"/>
    <w:rsid w:val="00815787"/>
    <w:rsid w:val="008157AB"/>
    <w:rsid w:val="00815896"/>
    <w:rsid w:val="008158D1"/>
    <w:rsid w:val="00815938"/>
    <w:rsid w:val="008159D9"/>
    <w:rsid w:val="00815DC3"/>
    <w:rsid w:val="00815ED0"/>
    <w:rsid w:val="00816078"/>
    <w:rsid w:val="0081614C"/>
    <w:rsid w:val="008161CF"/>
    <w:rsid w:val="008162C1"/>
    <w:rsid w:val="00816697"/>
    <w:rsid w:val="00816802"/>
    <w:rsid w:val="00816C54"/>
    <w:rsid w:val="00816D84"/>
    <w:rsid w:val="00816FB7"/>
    <w:rsid w:val="00817139"/>
    <w:rsid w:val="0081771A"/>
    <w:rsid w:val="00817FB3"/>
    <w:rsid w:val="00817FB5"/>
    <w:rsid w:val="00820213"/>
    <w:rsid w:val="00820283"/>
    <w:rsid w:val="008203AB"/>
    <w:rsid w:val="00820A9E"/>
    <w:rsid w:val="00820B26"/>
    <w:rsid w:val="008210D7"/>
    <w:rsid w:val="0082143B"/>
    <w:rsid w:val="008214EE"/>
    <w:rsid w:val="00821872"/>
    <w:rsid w:val="008218B0"/>
    <w:rsid w:val="00821BF1"/>
    <w:rsid w:val="008222E3"/>
    <w:rsid w:val="0082236E"/>
    <w:rsid w:val="008225A3"/>
    <w:rsid w:val="00822636"/>
    <w:rsid w:val="00822650"/>
    <w:rsid w:val="0082274A"/>
    <w:rsid w:val="0082275C"/>
    <w:rsid w:val="0082288D"/>
    <w:rsid w:val="00822BDD"/>
    <w:rsid w:val="00822C63"/>
    <w:rsid w:val="00822E5A"/>
    <w:rsid w:val="0082308E"/>
    <w:rsid w:val="0082320B"/>
    <w:rsid w:val="008232C9"/>
    <w:rsid w:val="00823595"/>
    <w:rsid w:val="008235EA"/>
    <w:rsid w:val="00823D95"/>
    <w:rsid w:val="0082521B"/>
    <w:rsid w:val="0082527E"/>
    <w:rsid w:val="0082613D"/>
    <w:rsid w:val="008261C1"/>
    <w:rsid w:val="008266E0"/>
    <w:rsid w:val="0082683F"/>
    <w:rsid w:val="00826B03"/>
    <w:rsid w:val="00826C12"/>
    <w:rsid w:val="00826E9B"/>
    <w:rsid w:val="00826ED7"/>
    <w:rsid w:val="00827150"/>
    <w:rsid w:val="008271B0"/>
    <w:rsid w:val="0082736E"/>
    <w:rsid w:val="00827396"/>
    <w:rsid w:val="0082798E"/>
    <w:rsid w:val="00827D07"/>
    <w:rsid w:val="0083008C"/>
    <w:rsid w:val="00830255"/>
    <w:rsid w:val="00830314"/>
    <w:rsid w:val="0083035F"/>
    <w:rsid w:val="00830BED"/>
    <w:rsid w:val="00830C3C"/>
    <w:rsid w:val="00830D31"/>
    <w:rsid w:val="00831200"/>
    <w:rsid w:val="00831786"/>
    <w:rsid w:val="00831838"/>
    <w:rsid w:val="00831B64"/>
    <w:rsid w:val="00831E03"/>
    <w:rsid w:val="00831EFC"/>
    <w:rsid w:val="00831F26"/>
    <w:rsid w:val="0083225D"/>
    <w:rsid w:val="008322A5"/>
    <w:rsid w:val="008323E5"/>
    <w:rsid w:val="00832620"/>
    <w:rsid w:val="0083272C"/>
    <w:rsid w:val="00832880"/>
    <w:rsid w:val="008329DB"/>
    <w:rsid w:val="00832DD9"/>
    <w:rsid w:val="008334DA"/>
    <w:rsid w:val="00833751"/>
    <w:rsid w:val="0083375C"/>
    <w:rsid w:val="0083383E"/>
    <w:rsid w:val="00833876"/>
    <w:rsid w:val="00833B87"/>
    <w:rsid w:val="00833F18"/>
    <w:rsid w:val="00834188"/>
    <w:rsid w:val="008341A1"/>
    <w:rsid w:val="008342E6"/>
    <w:rsid w:val="00834464"/>
    <w:rsid w:val="008346C5"/>
    <w:rsid w:val="00834E44"/>
    <w:rsid w:val="00834E7E"/>
    <w:rsid w:val="008351B5"/>
    <w:rsid w:val="0083523A"/>
    <w:rsid w:val="00835667"/>
    <w:rsid w:val="00835850"/>
    <w:rsid w:val="00835C2B"/>
    <w:rsid w:val="00836079"/>
    <w:rsid w:val="0083647D"/>
    <w:rsid w:val="00836517"/>
    <w:rsid w:val="008365FB"/>
    <w:rsid w:val="008368DD"/>
    <w:rsid w:val="00836908"/>
    <w:rsid w:val="00836A12"/>
    <w:rsid w:val="00836D7C"/>
    <w:rsid w:val="00836EDC"/>
    <w:rsid w:val="00836F1A"/>
    <w:rsid w:val="0083725C"/>
    <w:rsid w:val="0083727F"/>
    <w:rsid w:val="008376B0"/>
    <w:rsid w:val="0083791A"/>
    <w:rsid w:val="00837BB3"/>
    <w:rsid w:val="00837C60"/>
    <w:rsid w:val="00837F61"/>
    <w:rsid w:val="008401F8"/>
    <w:rsid w:val="008405D4"/>
    <w:rsid w:val="008409F4"/>
    <w:rsid w:val="00840B25"/>
    <w:rsid w:val="00840BAF"/>
    <w:rsid w:val="00841022"/>
    <w:rsid w:val="00841029"/>
    <w:rsid w:val="008411BD"/>
    <w:rsid w:val="0084160B"/>
    <w:rsid w:val="0084175F"/>
    <w:rsid w:val="00841B88"/>
    <w:rsid w:val="00841CB5"/>
    <w:rsid w:val="00841E96"/>
    <w:rsid w:val="00842085"/>
    <w:rsid w:val="00842125"/>
    <w:rsid w:val="00842246"/>
    <w:rsid w:val="008424CA"/>
    <w:rsid w:val="008425D2"/>
    <w:rsid w:val="008429B0"/>
    <w:rsid w:val="00842B80"/>
    <w:rsid w:val="00842CBA"/>
    <w:rsid w:val="0084310C"/>
    <w:rsid w:val="008431FC"/>
    <w:rsid w:val="0084326C"/>
    <w:rsid w:val="008432C0"/>
    <w:rsid w:val="0084334E"/>
    <w:rsid w:val="0084339E"/>
    <w:rsid w:val="00843751"/>
    <w:rsid w:val="00843BF0"/>
    <w:rsid w:val="008440E3"/>
    <w:rsid w:val="00844389"/>
    <w:rsid w:val="00844401"/>
    <w:rsid w:val="0084445A"/>
    <w:rsid w:val="008447BD"/>
    <w:rsid w:val="00844921"/>
    <w:rsid w:val="008451F4"/>
    <w:rsid w:val="0084535C"/>
    <w:rsid w:val="00845521"/>
    <w:rsid w:val="00845B5E"/>
    <w:rsid w:val="00846131"/>
    <w:rsid w:val="008465EE"/>
    <w:rsid w:val="00846965"/>
    <w:rsid w:val="00846A9A"/>
    <w:rsid w:val="00846B61"/>
    <w:rsid w:val="00846DB3"/>
    <w:rsid w:val="00846F09"/>
    <w:rsid w:val="008470CD"/>
    <w:rsid w:val="00847229"/>
    <w:rsid w:val="008472D3"/>
    <w:rsid w:val="00847511"/>
    <w:rsid w:val="008475D7"/>
    <w:rsid w:val="00847844"/>
    <w:rsid w:val="00847E4E"/>
    <w:rsid w:val="00850170"/>
    <w:rsid w:val="008501C7"/>
    <w:rsid w:val="0085028C"/>
    <w:rsid w:val="0085072E"/>
    <w:rsid w:val="00850747"/>
    <w:rsid w:val="0085082C"/>
    <w:rsid w:val="00850B97"/>
    <w:rsid w:val="00850C3C"/>
    <w:rsid w:val="008512E2"/>
    <w:rsid w:val="0085141B"/>
    <w:rsid w:val="008514D2"/>
    <w:rsid w:val="0085161D"/>
    <w:rsid w:val="0085193C"/>
    <w:rsid w:val="00851A8D"/>
    <w:rsid w:val="00851E0D"/>
    <w:rsid w:val="00851E19"/>
    <w:rsid w:val="00851E7D"/>
    <w:rsid w:val="00851FAB"/>
    <w:rsid w:val="0085216A"/>
    <w:rsid w:val="008522B5"/>
    <w:rsid w:val="00852395"/>
    <w:rsid w:val="00852C33"/>
    <w:rsid w:val="00852E51"/>
    <w:rsid w:val="00852F23"/>
    <w:rsid w:val="00852FAE"/>
    <w:rsid w:val="00853098"/>
    <w:rsid w:val="008532C5"/>
    <w:rsid w:val="008532DB"/>
    <w:rsid w:val="00853359"/>
    <w:rsid w:val="0085340E"/>
    <w:rsid w:val="008539CF"/>
    <w:rsid w:val="00853AE7"/>
    <w:rsid w:val="00853D20"/>
    <w:rsid w:val="00853DB7"/>
    <w:rsid w:val="00853E05"/>
    <w:rsid w:val="0085468C"/>
    <w:rsid w:val="008546E4"/>
    <w:rsid w:val="008549BF"/>
    <w:rsid w:val="00854B48"/>
    <w:rsid w:val="008551D0"/>
    <w:rsid w:val="00855261"/>
    <w:rsid w:val="00855551"/>
    <w:rsid w:val="00855C2C"/>
    <w:rsid w:val="00855FD1"/>
    <w:rsid w:val="00856123"/>
    <w:rsid w:val="00856191"/>
    <w:rsid w:val="008561F4"/>
    <w:rsid w:val="0085622A"/>
    <w:rsid w:val="008562A4"/>
    <w:rsid w:val="00856353"/>
    <w:rsid w:val="008566C3"/>
    <w:rsid w:val="008567CE"/>
    <w:rsid w:val="008568C7"/>
    <w:rsid w:val="00856C1C"/>
    <w:rsid w:val="008571FD"/>
    <w:rsid w:val="008574FE"/>
    <w:rsid w:val="008575F9"/>
    <w:rsid w:val="00857CD8"/>
    <w:rsid w:val="00857DAD"/>
    <w:rsid w:val="008604A2"/>
    <w:rsid w:val="00860505"/>
    <w:rsid w:val="00860784"/>
    <w:rsid w:val="00860A87"/>
    <w:rsid w:val="00860ADB"/>
    <w:rsid w:val="00860B9D"/>
    <w:rsid w:val="00860C47"/>
    <w:rsid w:val="0086123E"/>
    <w:rsid w:val="00861255"/>
    <w:rsid w:val="0086144F"/>
    <w:rsid w:val="0086172A"/>
    <w:rsid w:val="00861845"/>
    <w:rsid w:val="00861985"/>
    <w:rsid w:val="00861CB6"/>
    <w:rsid w:val="00861CD8"/>
    <w:rsid w:val="00861F26"/>
    <w:rsid w:val="00861F66"/>
    <w:rsid w:val="00862140"/>
    <w:rsid w:val="008621DF"/>
    <w:rsid w:val="0086220A"/>
    <w:rsid w:val="00862261"/>
    <w:rsid w:val="00862842"/>
    <w:rsid w:val="00862ADE"/>
    <w:rsid w:val="00862E47"/>
    <w:rsid w:val="00862FCF"/>
    <w:rsid w:val="008632F7"/>
    <w:rsid w:val="008636C7"/>
    <w:rsid w:val="0086380F"/>
    <w:rsid w:val="0086405C"/>
    <w:rsid w:val="008641F1"/>
    <w:rsid w:val="008642E3"/>
    <w:rsid w:val="00864361"/>
    <w:rsid w:val="008649DF"/>
    <w:rsid w:val="00864A37"/>
    <w:rsid w:val="00864B9E"/>
    <w:rsid w:val="00864D8E"/>
    <w:rsid w:val="00864DEE"/>
    <w:rsid w:val="00865097"/>
    <w:rsid w:val="00865168"/>
    <w:rsid w:val="008652CF"/>
    <w:rsid w:val="00865315"/>
    <w:rsid w:val="008654D9"/>
    <w:rsid w:val="008658F9"/>
    <w:rsid w:val="008661DD"/>
    <w:rsid w:val="0086631F"/>
    <w:rsid w:val="008664B3"/>
    <w:rsid w:val="00866C14"/>
    <w:rsid w:val="00866F71"/>
    <w:rsid w:val="0086714E"/>
    <w:rsid w:val="00867475"/>
    <w:rsid w:val="0086788A"/>
    <w:rsid w:val="00867AAC"/>
    <w:rsid w:val="00867B43"/>
    <w:rsid w:val="00867B4A"/>
    <w:rsid w:val="00867F7A"/>
    <w:rsid w:val="00867F82"/>
    <w:rsid w:val="008700A5"/>
    <w:rsid w:val="00870202"/>
    <w:rsid w:val="008702DB"/>
    <w:rsid w:val="008707A4"/>
    <w:rsid w:val="00870988"/>
    <w:rsid w:val="00870FD3"/>
    <w:rsid w:val="00871396"/>
    <w:rsid w:val="008713BD"/>
    <w:rsid w:val="0087144C"/>
    <w:rsid w:val="0087145A"/>
    <w:rsid w:val="0087158D"/>
    <w:rsid w:val="00871BD7"/>
    <w:rsid w:val="008723D9"/>
    <w:rsid w:val="0087274A"/>
    <w:rsid w:val="00872880"/>
    <w:rsid w:val="00872B3A"/>
    <w:rsid w:val="00872B73"/>
    <w:rsid w:val="00872DD2"/>
    <w:rsid w:val="00873337"/>
    <w:rsid w:val="00873AF5"/>
    <w:rsid w:val="00873BCB"/>
    <w:rsid w:val="008740D6"/>
    <w:rsid w:val="0087421F"/>
    <w:rsid w:val="008742B6"/>
    <w:rsid w:val="00874410"/>
    <w:rsid w:val="008745BE"/>
    <w:rsid w:val="00874720"/>
    <w:rsid w:val="00874A2A"/>
    <w:rsid w:val="00874C43"/>
    <w:rsid w:val="00874F5A"/>
    <w:rsid w:val="008752A9"/>
    <w:rsid w:val="00875735"/>
    <w:rsid w:val="0087599A"/>
    <w:rsid w:val="00875A5F"/>
    <w:rsid w:val="00875AFA"/>
    <w:rsid w:val="00875DCE"/>
    <w:rsid w:val="008763B5"/>
    <w:rsid w:val="00876B46"/>
    <w:rsid w:val="00876CA0"/>
    <w:rsid w:val="00876CFE"/>
    <w:rsid w:val="00876E6B"/>
    <w:rsid w:val="0087750E"/>
    <w:rsid w:val="0087787F"/>
    <w:rsid w:val="00877ACD"/>
    <w:rsid w:val="00877D7F"/>
    <w:rsid w:val="00877F53"/>
    <w:rsid w:val="0088017E"/>
    <w:rsid w:val="008803DC"/>
    <w:rsid w:val="00880447"/>
    <w:rsid w:val="00880530"/>
    <w:rsid w:val="0088067B"/>
    <w:rsid w:val="008806DC"/>
    <w:rsid w:val="00880896"/>
    <w:rsid w:val="00880A3F"/>
    <w:rsid w:val="00880ACF"/>
    <w:rsid w:val="00880BB3"/>
    <w:rsid w:val="00880D4D"/>
    <w:rsid w:val="00881048"/>
    <w:rsid w:val="008812AC"/>
    <w:rsid w:val="00881735"/>
    <w:rsid w:val="008818E1"/>
    <w:rsid w:val="008819C1"/>
    <w:rsid w:val="00881CFE"/>
    <w:rsid w:val="00882543"/>
    <w:rsid w:val="00882756"/>
    <w:rsid w:val="00882A53"/>
    <w:rsid w:val="00882BA9"/>
    <w:rsid w:val="00882E1D"/>
    <w:rsid w:val="00882EC3"/>
    <w:rsid w:val="008835C0"/>
    <w:rsid w:val="00883A3D"/>
    <w:rsid w:val="00883B77"/>
    <w:rsid w:val="00883EE0"/>
    <w:rsid w:val="00883F6A"/>
    <w:rsid w:val="0088407D"/>
    <w:rsid w:val="0088439B"/>
    <w:rsid w:val="008845F3"/>
    <w:rsid w:val="00884820"/>
    <w:rsid w:val="00884828"/>
    <w:rsid w:val="00884B38"/>
    <w:rsid w:val="00884B85"/>
    <w:rsid w:val="00884BEC"/>
    <w:rsid w:val="00884D1E"/>
    <w:rsid w:val="00884F75"/>
    <w:rsid w:val="00885228"/>
    <w:rsid w:val="00885943"/>
    <w:rsid w:val="00885A66"/>
    <w:rsid w:val="00885BDA"/>
    <w:rsid w:val="00885BE7"/>
    <w:rsid w:val="00885C07"/>
    <w:rsid w:val="00885D14"/>
    <w:rsid w:val="00885D63"/>
    <w:rsid w:val="00885F62"/>
    <w:rsid w:val="00886510"/>
    <w:rsid w:val="008865CF"/>
    <w:rsid w:val="00886A82"/>
    <w:rsid w:val="00886D28"/>
    <w:rsid w:val="00886DE6"/>
    <w:rsid w:val="0088721B"/>
    <w:rsid w:val="00887324"/>
    <w:rsid w:val="0088762C"/>
    <w:rsid w:val="0088766F"/>
    <w:rsid w:val="008877FA"/>
    <w:rsid w:val="00887B59"/>
    <w:rsid w:val="00887B67"/>
    <w:rsid w:val="00887DA9"/>
    <w:rsid w:val="00887DB7"/>
    <w:rsid w:val="00887FD1"/>
    <w:rsid w:val="0089041F"/>
    <w:rsid w:val="00890530"/>
    <w:rsid w:val="00890854"/>
    <w:rsid w:val="00890A50"/>
    <w:rsid w:val="00890A57"/>
    <w:rsid w:val="00890BF6"/>
    <w:rsid w:val="00890EB7"/>
    <w:rsid w:val="00891A1A"/>
    <w:rsid w:val="00892154"/>
    <w:rsid w:val="008922CC"/>
    <w:rsid w:val="0089288D"/>
    <w:rsid w:val="00892C7B"/>
    <w:rsid w:val="00892E58"/>
    <w:rsid w:val="00892F2C"/>
    <w:rsid w:val="00892FCA"/>
    <w:rsid w:val="0089334A"/>
    <w:rsid w:val="00893411"/>
    <w:rsid w:val="008934CF"/>
    <w:rsid w:val="00893586"/>
    <w:rsid w:val="00893754"/>
    <w:rsid w:val="00893900"/>
    <w:rsid w:val="00893A16"/>
    <w:rsid w:val="00893B6E"/>
    <w:rsid w:val="008940BC"/>
    <w:rsid w:val="008941D2"/>
    <w:rsid w:val="00894235"/>
    <w:rsid w:val="00894587"/>
    <w:rsid w:val="008947F5"/>
    <w:rsid w:val="008951B4"/>
    <w:rsid w:val="00895303"/>
    <w:rsid w:val="0089532F"/>
    <w:rsid w:val="0089584B"/>
    <w:rsid w:val="0089595B"/>
    <w:rsid w:val="00895982"/>
    <w:rsid w:val="00895A50"/>
    <w:rsid w:val="00895DA0"/>
    <w:rsid w:val="00895F0D"/>
    <w:rsid w:val="00895F5E"/>
    <w:rsid w:val="008961A0"/>
    <w:rsid w:val="00896596"/>
    <w:rsid w:val="00896872"/>
    <w:rsid w:val="008968CD"/>
    <w:rsid w:val="00896ADD"/>
    <w:rsid w:val="00896B4A"/>
    <w:rsid w:val="00896EA7"/>
    <w:rsid w:val="00896F34"/>
    <w:rsid w:val="0089705C"/>
    <w:rsid w:val="00897118"/>
    <w:rsid w:val="008972E3"/>
    <w:rsid w:val="008973FC"/>
    <w:rsid w:val="00897D54"/>
    <w:rsid w:val="00897DA6"/>
    <w:rsid w:val="00897F3C"/>
    <w:rsid w:val="008A01E1"/>
    <w:rsid w:val="008A0677"/>
    <w:rsid w:val="008A078F"/>
    <w:rsid w:val="008A07AB"/>
    <w:rsid w:val="008A0880"/>
    <w:rsid w:val="008A09F2"/>
    <w:rsid w:val="008A0A09"/>
    <w:rsid w:val="008A0A22"/>
    <w:rsid w:val="008A1096"/>
    <w:rsid w:val="008A1565"/>
    <w:rsid w:val="008A1AE4"/>
    <w:rsid w:val="008A2044"/>
    <w:rsid w:val="008A21B9"/>
    <w:rsid w:val="008A229E"/>
    <w:rsid w:val="008A23DE"/>
    <w:rsid w:val="008A2502"/>
    <w:rsid w:val="008A25C3"/>
    <w:rsid w:val="008A284D"/>
    <w:rsid w:val="008A285D"/>
    <w:rsid w:val="008A2C7C"/>
    <w:rsid w:val="008A33AF"/>
    <w:rsid w:val="008A35B1"/>
    <w:rsid w:val="008A378A"/>
    <w:rsid w:val="008A3B55"/>
    <w:rsid w:val="008A3EF6"/>
    <w:rsid w:val="008A400D"/>
    <w:rsid w:val="008A4048"/>
    <w:rsid w:val="008A45C8"/>
    <w:rsid w:val="008A45DC"/>
    <w:rsid w:val="008A460C"/>
    <w:rsid w:val="008A46D0"/>
    <w:rsid w:val="008A46D4"/>
    <w:rsid w:val="008A46DE"/>
    <w:rsid w:val="008A4892"/>
    <w:rsid w:val="008A4C08"/>
    <w:rsid w:val="008A4C3E"/>
    <w:rsid w:val="008A4EA2"/>
    <w:rsid w:val="008A5073"/>
    <w:rsid w:val="008A52B6"/>
    <w:rsid w:val="008A550A"/>
    <w:rsid w:val="008A57A9"/>
    <w:rsid w:val="008A5AB5"/>
    <w:rsid w:val="008A5ACE"/>
    <w:rsid w:val="008A5C9D"/>
    <w:rsid w:val="008A5ED5"/>
    <w:rsid w:val="008A6043"/>
    <w:rsid w:val="008A62C5"/>
    <w:rsid w:val="008A63F2"/>
    <w:rsid w:val="008A64F0"/>
    <w:rsid w:val="008A6525"/>
    <w:rsid w:val="008A65A7"/>
    <w:rsid w:val="008A6662"/>
    <w:rsid w:val="008A66F1"/>
    <w:rsid w:val="008A70D1"/>
    <w:rsid w:val="008A70EC"/>
    <w:rsid w:val="008A781F"/>
    <w:rsid w:val="008A7DD6"/>
    <w:rsid w:val="008B001F"/>
    <w:rsid w:val="008B03D3"/>
    <w:rsid w:val="008B055D"/>
    <w:rsid w:val="008B07F6"/>
    <w:rsid w:val="008B0A29"/>
    <w:rsid w:val="008B0BDA"/>
    <w:rsid w:val="008B0C52"/>
    <w:rsid w:val="008B10E6"/>
    <w:rsid w:val="008B1412"/>
    <w:rsid w:val="008B16AC"/>
    <w:rsid w:val="008B1AC0"/>
    <w:rsid w:val="008B21E0"/>
    <w:rsid w:val="008B242F"/>
    <w:rsid w:val="008B25CC"/>
    <w:rsid w:val="008B26FB"/>
    <w:rsid w:val="008B2AE5"/>
    <w:rsid w:val="008B2F0A"/>
    <w:rsid w:val="008B2F0B"/>
    <w:rsid w:val="008B2F72"/>
    <w:rsid w:val="008B2FFB"/>
    <w:rsid w:val="008B311A"/>
    <w:rsid w:val="008B31F3"/>
    <w:rsid w:val="008B32E8"/>
    <w:rsid w:val="008B370A"/>
    <w:rsid w:val="008B370E"/>
    <w:rsid w:val="008B38C9"/>
    <w:rsid w:val="008B395A"/>
    <w:rsid w:val="008B3996"/>
    <w:rsid w:val="008B3A7F"/>
    <w:rsid w:val="008B3AC8"/>
    <w:rsid w:val="008B3FE7"/>
    <w:rsid w:val="008B4391"/>
    <w:rsid w:val="008B4438"/>
    <w:rsid w:val="008B44DA"/>
    <w:rsid w:val="008B50E2"/>
    <w:rsid w:val="008B53D9"/>
    <w:rsid w:val="008B5ADC"/>
    <w:rsid w:val="008B5B70"/>
    <w:rsid w:val="008B5D6A"/>
    <w:rsid w:val="008B5E5D"/>
    <w:rsid w:val="008B6012"/>
    <w:rsid w:val="008B6242"/>
    <w:rsid w:val="008B6418"/>
    <w:rsid w:val="008B64D1"/>
    <w:rsid w:val="008B65D9"/>
    <w:rsid w:val="008B69CE"/>
    <w:rsid w:val="008B6BA8"/>
    <w:rsid w:val="008B6C82"/>
    <w:rsid w:val="008B705C"/>
    <w:rsid w:val="008B70F5"/>
    <w:rsid w:val="008B71F2"/>
    <w:rsid w:val="008B756E"/>
    <w:rsid w:val="008B767B"/>
    <w:rsid w:val="008B77C0"/>
    <w:rsid w:val="008B78E7"/>
    <w:rsid w:val="008B793B"/>
    <w:rsid w:val="008B7B38"/>
    <w:rsid w:val="008B7D38"/>
    <w:rsid w:val="008B7F44"/>
    <w:rsid w:val="008C011E"/>
    <w:rsid w:val="008C0513"/>
    <w:rsid w:val="008C07DA"/>
    <w:rsid w:val="008C0BC7"/>
    <w:rsid w:val="008C0C3D"/>
    <w:rsid w:val="008C0C3E"/>
    <w:rsid w:val="008C0C69"/>
    <w:rsid w:val="008C0C90"/>
    <w:rsid w:val="008C0F03"/>
    <w:rsid w:val="008C1077"/>
    <w:rsid w:val="008C10A6"/>
    <w:rsid w:val="008C10DD"/>
    <w:rsid w:val="008C12E6"/>
    <w:rsid w:val="008C1310"/>
    <w:rsid w:val="008C1859"/>
    <w:rsid w:val="008C1959"/>
    <w:rsid w:val="008C1990"/>
    <w:rsid w:val="008C1CD2"/>
    <w:rsid w:val="008C1EFB"/>
    <w:rsid w:val="008C21C7"/>
    <w:rsid w:val="008C24A1"/>
    <w:rsid w:val="008C26F6"/>
    <w:rsid w:val="008C2B3E"/>
    <w:rsid w:val="008C3233"/>
    <w:rsid w:val="008C3965"/>
    <w:rsid w:val="008C3CA7"/>
    <w:rsid w:val="008C3DC7"/>
    <w:rsid w:val="008C3EF8"/>
    <w:rsid w:val="008C4011"/>
    <w:rsid w:val="008C4083"/>
    <w:rsid w:val="008C40B8"/>
    <w:rsid w:val="008C44E5"/>
    <w:rsid w:val="008C45F8"/>
    <w:rsid w:val="008C499E"/>
    <w:rsid w:val="008C4A58"/>
    <w:rsid w:val="008C4EFE"/>
    <w:rsid w:val="008C4F64"/>
    <w:rsid w:val="008C50B6"/>
    <w:rsid w:val="008C5333"/>
    <w:rsid w:val="008C53F2"/>
    <w:rsid w:val="008C57BF"/>
    <w:rsid w:val="008C5974"/>
    <w:rsid w:val="008C5AAB"/>
    <w:rsid w:val="008C5BB2"/>
    <w:rsid w:val="008C5D24"/>
    <w:rsid w:val="008C5D98"/>
    <w:rsid w:val="008C5F3D"/>
    <w:rsid w:val="008C6118"/>
    <w:rsid w:val="008C612F"/>
    <w:rsid w:val="008C6164"/>
    <w:rsid w:val="008C6597"/>
    <w:rsid w:val="008C65E8"/>
    <w:rsid w:val="008C6613"/>
    <w:rsid w:val="008C6A0F"/>
    <w:rsid w:val="008C6D96"/>
    <w:rsid w:val="008C7270"/>
    <w:rsid w:val="008C7483"/>
    <w:rsid w:val="008C7B9E"/>
    <w:rsid w:val="008C7BAD"/>
    <w:rsid w:val="008C7D21"/>
    <w:rsid w:val="008D0169"/>
    <w:rsid w:val="008D051A"/>
    <w:rsid w:val="008D0584"/>
    <w:rsid w:val="008D06A7"/>
    <w:rsid w:val="008D073B"/>
    <w:rsid w:val="008D0B68"/>
    <w:rsid w:val="008D0B76"/>
    <w:rsid w:val="008D0C4F"/>
    <w:rsid w:val="008D0D6F"/>
    <w:rsid w:val="008D0E4A"/>
    <w:rsid w:val="008D0E4F"/>
    <w:rsid w:val="008D0F71"/>
    <w:rsid w:val="008D11B0"/>
    <w:rsid w:val="008D1259"/>
    <w:rsid w:val="008D1442"/>
    <w:rsid w:val="008D16BA"/>
    <w:rsid w:val="008D176A"/>
    <w:rsid w:val="008D1CDF"/>
    <w:rsid w:val="008D1EF5"/>
    <w:rsid w:val="008D247D"/>
    <w:rsid w:val="008D277D"/>
    <w:rsid w:val="008D28A0"/>
    <w:rsid w:val="008D2B1C"/>
    <w:rsid w:val="008D2BE2"/>
    <w:rsid w:val="008D2DE4"/>
    <w:rsid w:val="008D2FA8"/>
    <w:rsid w:val="008D308C"/>
    <w:rsid w:val="008D348B"/>
    <w:rsid w:val="008D3497"/>
    <w:rsid w:val="008D3621"/>
    <w:rsid w:val="008D3771"/>
    <w:rsid w:val="008D37FB"/>
    <w:rsid w:val="008D38CD"/>
    <w:rsid w:val="008D3952"/>
    <w:rsid w:val="008D3C95"/>
    <w:rsid w:val="008D3DF2"/>
    <w:rsid w:val="008D3E52"/>
    <w:rsid w:val="008D3F24"/>
    <w:rsid w:val="008D42D6"/>
    <w:rsid w:val="008D4517"/>
    <w:rsid w:val="008D45C1"/>
    <w:rsid w:val="008D45F1"/>
    <w:rsid w:val="008D487C"/>
    <w:rsid w:val="008D4A88"/>
    <w:rsid w:val="008D4D82"/>
    <w:rsid w:val="008D4EED"/>
    <w:rsid w:val="008D5703"/>
    <w:rsid w:val="008D5747"/>
    <w:rsid w:val="008D5825"/>
    <w:rsid w:val="008D5A35"/>
    <w:rsid w:val="008D5F6F"/>
    <w:rsid w:val="008D603A"/>
    <w:rsid w:val="008D617A"/>
    <w:rsid w:val="008D62AD"/>
    <w:rsid w:val="008D63E1"/>
    <w:rsid w:val="008D6D81"/>
    <w:rsid w:val="008D7158"/>
    <w:rsid w:val="008D78BE"/>
    <w:rsid w:val="008D7B15"/>
    <w:rsid w:val="008D7DFD"/>
    <w:rsid w:val="008D7E14"/>
    <w:rsid w:val="008E002D"/>
    <w:rsid w:val="008E0198"/>
    <w:rsid w:val="008E09CD"/>
    <w:rsid w:val="008E111A"/>
    <w:rsid w:val="008E1267"/>
    <w:rsid w:val="008E12E3"/>
    <w:rsid w:val="008E173A"/>
    <w:rsid w:val="008E1775"/>
    <w:rsid w:val="008E1A17"/>
    <w:rsid w:val="008E1C60"/>
    <w:rsid w:val="008E1EEE"/>
    <w:rsid w:val="008E1FCB"/>
    <w:rsid w:val="008E2353"/>
    <w:rsid w:val="008E24E0"/>
    <w:rsid w:val="008E28A8"/>
    <w:rsid w:val="008E2A15"/>
    <w:rsid w:val="008E2A84"/>
    <w:rsid w:val="008E2B30"/>
    <w:rsid w:val="008E2D17"/>
    <w:rsid w:val="008E2FA3"/>
    <w:rsid w:val="008E37F3"/>
    <w:rsid w:val="008E439F"/>
    <w:rsid w:val="008E47D7"/>
    <w:rsid w:val="008E48C3"/>
    <w:rsid w:val="008E494C"/>
    <w:rsid w:val="008E4A9F"/>
    <w:rsid w:val="008E4CA6"/>
    <w:rsid w:val="008E4F3C"/>
    <w:rsid w:val="008E509D"/>
    <w:rsid w:val="008E5162"/>
    <w:rsid w:val="008E51AE"/>
    <w:rsid w:val="008E51C1"/>
    <w:rsid w:val="008E525B"/>
    <w:rsid w:val="008E540D"/>
    <w:rsid w:val="008E5536"/>
    <w:rsid w:val="008E5DC6"/>
    <w:rsid w:val="008E6410"/>
    <w:rsid w:val="008E6564"/>
    <w:rsid w:val="008E6A85"/>
    <w:rsid w:val="008E7360"/>
    <w:rsid w:val="008E7384"/>
    <w:rsid w:val="008E7A0C"/>
    <w:rsid w:val="008F00BC"/>
    <w:rsid w:val="008F0358"/>
    <w:rsid w:val="008F0377"/>
    <w:rsid w:val="008F03D7"/>
    <w:rsid w:val="008F0489"/>
    <w:rsid w:val="008F05EE"/>
    <w:rsid w:val="008F07DF"/>
    <w:rsid w:val="008F0A69"/>
    <w:rsid w:val="008F0CCA"/>
    <w:rsid w:val="008F0EA6"/>
    <w:rsid w:val="008F0FB7"/>
    <w:rsid w:val="008F12D5"/>
    <w:rsid w:val="008F16C8"/>
    <w:rsid w:val="008F17E7"/>
    <w:rsid w:val="008F1CAF"/>
    <w:rsid w:val="008F21EF"/>
    <w:rsid w:val="008F2AF3"/>
    <w:rsid w:val="008F2B67"/>
    <w:rsid w:val="008F2C36"/>
    <w:rsid w:val="008F2D37"/>
    <w:rsid w:val="008F2DBC"/>
    <w:rsid w:val="008F338E"/>
    <w:rsid w:val="008F34EC"/>
    <w:rsid w:val="008F3596"/>
    <w:rsid w:val="008F38DA"/>
    <w:rsid w:val="008F39E3"/>
    <w:rsid w:val="008F3AEF"/>
    <w:rsid w:val="008F3C6D"/>
    <w:rsid w:val="008F3E65"/>
    <w:rsid w:val="008F4280"/>
    <w:rsid w:val="008F47F3"/>
    <w:rsid w:val="008F4900"/>
    <w:rsid w:val="008F4957"/>
    <w:rsid w:val="008F49F8"/>
    <w:rsid w:val="008F4FBB"/>
    <w:rsid w:val="008F51CF"/>
    <w:rsid w:val="008F535E"/>
    <w:rsid w:val="008F5381"/>
    <w:rsid w:val="008F575B"/>
    <w:rsid w:val="008F5919"/>
    <w:rsid w:val="008F5B5D"/>
    <w:rsid w:val="008F5C1B"/>
    <w:rsid w:val="008F5CF8"/>
    <w:rsid w:val="008F5D19"/>
    <w:rsid w:val="008F6039"/>
    <w:rsid w:val="008F6121"/>
    <w:rsid w:val="008F64A6"/>
    <w:rsid w:val="008F65B3"/>
    <w:rsid w:val="008F67D0"/>
    <w:rsid w:val="008F6B0A"/>
    <w:rsid w:val="008F6B51"/>
    <w:rsid w:val="008F6BA3"/>
    <w:rsid w:val="008F71F2"/>
    <w:rsid w:val="008F7241"/>
    <w:rsid w:val="008F738B"/>
    <w:rsid w:val="008F74B8"/>
    <w:rsid w:val="008F7906"/>
    <w:rsid w:val="008F79B4"/>
    <w:rsid w:val="008F7C04"/>
    <w:rsid w:val="008F7F22"/>
    <w:rsid w:val="008F7F89"/>
    <w:rsid w:val="0090016F"/>
    <w:rsid w:val="00900692"/>
    <w:rsid w:val="009007EC"/>
    <w:rsid w:val="00900A48"/>
    <w:rsid w:val="00900A87"/>
    <w:rsid w:val="00900EDE"/>
    <w:rsid w:val="00900F03"/>
    <w:rsid w:val="00900FA5"/>
    <w:rsid w:val="009010ED"/>
    <w:rsid w:val="0090112D"/>
    <w:rsid w:val="009012F2"/>
    <w:rsid w:val="00901442"/>
    <w:rsid w:val="00901474"/>
    <w:rsid w:val="0090157A"/>
    <w:rsid w:val="00901596"/>
    <w:rsid w:val="00901897"/>
    <w:rsid w:val="00901C51"/>
    <w:rsid w:val="00901D5A"/>
    <w:rsid w:val="00902066"/>
    <w:rsid w:val="00902740"/>
    <w:rsid w:val="00902D6D"/>
    <w:rsid w:val="00902DFD"/>
    <w:rsid w:val="00902E4F"/>
    <w:rsid w:val="00903351"/>
    <w:rsid w:val="00903363"/>
    <w:rsid w:val="00903365"/>
    <w:rsid w:val="009037C6"/>
    <w:rsid w:val="00903DFF"/>
    <w:rsid w:val="00903EE1"/>
    <w:rsid w:val="009040C5"/>
    <w:rsid w:val="00904336"/>
    <w:rsid w:val="0090454A"/>
    <w:rsid w:val="009046B9"/>
    <w:rsid w:val="0090474C"/>
    <w:rsid w:val="0090474F"/>
    <w:rsid w:val="00904797"/>
    <w:rsid w:val="00904ACF"/>
    <w:rsid w:val="00904CDD"/>
    <w:rsid w:val="009050BD"/>
    <w:rsid w:val="009054DC"/>
    <w:rsid w:val="00905B23"/>
    <w:rsid w:val="0090620F"/>
    <w:rsid w:val="009065D9"/>
    <w:rsid w:val="009068BB"/>
    <w:rsid w:val="0090695E"/>
    <w:rsid w:val="00906D8E"/>
    <w:rsid w:val="009070B6"/>
    <w:rsid w:val="00907159"/>
    <w:rsid w:val="0090749C"/>
    <w:rsid w:val="0090785A"/>
    <w:rsid w:val="00907BA8"/>
    <w:rsid w:val="009107E7"/>
    <w:rsid w:val="00910DA7"/>
    <w:rsid w:val="00910DD6"/>
    <w:rsid w:val="00910F38"/>
    <w:rsid w:val="0091107A"/>
    <w:rsid w:val="0091148C"/>
    <w:rsid w:val="0091160C"/>
    <w:rsid w:val="0091195A"/>
    <w:rsid w:val="0091204D"/>
    <w:rsid w:val="00912865"/>
    <w:rsid w:val="009128BD"/>
    <w:rsid w:val="00912949"/>
    <w:rsid w:val="00912AC9"/>
    <w:rsid w:val="00912FFA"/>
    <w:rsid w:val="0091319B"/>
    <w:rsid w:val="00913A7A"/>
    <w:rsid w:val="00913BA8"/>
    <w:rsid w:val="00914275"/>
    <w:rsid w:val="009142AF"/>
    <w:rsid w:val="00914390"/>
    <w:rsid w:val="0091440D"/>
    <w:rsid w:val="009148A7"/>
    <w:rsid w:val="009148BB"/>
    <w:rsid w:val="00914917"/>
    <w:rsid w:val="00914A43"/>
    <w:rsid w:val="00914BEB"/>
    <w:rsid w:val="00914F06"/>
    <w:rsid w:val="009150FF"/>
    <w:rsid w:val="0091540F"/>
    <w:rsid w:val="009156D4"/>
    <w:rsid w:val="0091586D"/>
    <w:rsid w:val="009158D8"/>
    <w:rsid w:val="00916106"/>
    <w:rsid w:val="00916111"/>
    <w:rsid w:val="00916410"/>
    <w:rsid w:val="00916680"/>
    <w:rsid w:val="00916E30"/>
    <w:rsid w:val="00917247"/>
    <w:rsid w:val="0091726E"/>
    <w:rsid w:val="00917B24"/>
    <w:rsid w:val="00917B6E"/>
    <w:rsid w:val="00917D00"/>
    <w:rsid w:val="00917D2B"/>
    <w:rsid w:val="009202D9"/>
    <w:rsid w:val="0092040F"/>
    <w:rsid w:val="00920437"/>
    <w:rsid w:val="009205FB"/>
    <w:rsid w:val="009207A7"/>
    <w:rsid w:val="00920B6D"/>
    <w:rsid w:val="00920DDD"/>
    <w:rsid w:val="0092124F"/>
    <w:rsid w:val="0092134E"/>
    <w:rsid w:val="00921477"/>
    <w:rsid w:val="0092179C"/>
    <w:rsid w:val="00921A12"/>
    <w:rsid w:val="00921A59"/>
    <w:rsid w:val="00921B89"/>
    <w:rsid w:val="00921BDE"/>
    <w:rsid w:val="0092240D"/>
    <w:rsid w:val="00922778"/>
    <w:rsid w:val="00922C25"/>
    <w:rsid w:val="00922EBB"/>
    <w:rsid w:val="00922FD7"/>
    <w:rsid w:val="009230A2"/>
    <w:rsid w:val="00923225"/>
    <w:rsid w:val="0092352E"/>
    <w:rsid w:val="009236C0"/>
    <w:rsid w:val="00923814"/>
    <w:rsid w:val="0092387C"/>
    <w:rsid w:val="00923E68"/>
    <w:rsid w:val="00924446"/>
    <w:rsid w:val="00924991"/>
    <w:rsid w:val="00924A0A"/>
    <w:rsid w:val="009250F2"/>
    <w:rsid w:val="0092516A"/>
    <w:rsid w:val="00925433"/>
    <w:rsid w:val="009255A5"/>
    <w:rsid w:val="00925682"/>
    <w:rsid w:val="0092586B"/>
    <w:rsid w:val="00925A78"/>
    <w:rsid w:val="00925D9A"/>
    <w:rsid w:val="00925DAB"/>
    <w:rsid w:val="0092655A"/>
    <w:rsid w:val="00926585"/>
    <w:rsid w:val="00926896"/>
    <w:rsid w:val="00926C80"/>
    <w:rsid w:val="00927047"/>
    <w:rsid w:val="00927398"/>
    <w:rsid w:val="00927A7A"/>
    <w:rsid w:val="00927BAD"/>
    <w:rsid w:val="00927E87"/>
    <w:rsid w:val="00927F70"/>
    <w:rsid w:val="0093011B"/>
    <w:rsid w:val="0093025F"/>
    <w:rsid w:val="0093043E"/>
    <w:rsid w:val="0093066E"/>
    <w:rsid w:val="00930AF6"/>
    <w:rsid w:val="00930B53"/>
    <w:rsid w:val="00930C98"/>
    <w:rsid w:val="00930DC0"/>
    <w:rsid w:val="00931AA7"/>
    <w:rsid w:val="00931F24"/>
    <w:rsid w:val="00931F78"/>
    <w:rsid w:val="00931FAA"/>
    <w:rsid w:val="00932138"/>
    <w:rsid w:val="0093219B"/>
    <w:rsid w:val="009322AC"/>
    <w:rsid w:val="009322EF"/>
    <w:rsid w:val="0093282F"/>
    <w:rsid w:val="00932EA2"/>
    <w:rsid w:val="00933102"/>
    <w:rsid w:val="0093321E"/>
    <w:rsid w:val="0093395A"/>
    <w:rsid w:val="00933DF0"/>
    <w:rsid w:val="0093415B"/>
    <w:rsid w:val="0093418F"/>
    <w:rsid w:val="009342A3"/>
    <w:rsid w:val="009345B9"/>
    <w:rsid w:val="009349BF"/>
    <w:rsid w:val="00934AFF"/>
    <w:rsid w:val="00934B4D"/>
    <w:rsid w:val="009351AC"/>
    <w:rsid w:val="0093534E"/>
    <w:rsid w:val="00935994"/>
    <w:rsid w:val="009359F0"/>
    <w:rsid w:val="00935FA6"/>
    <w:rsid w:val="009361FA"/>
    <w:rsid w:val="0093622C"/>
    <w:rsid w:val="009364B8"/>
    <w:rsid w:val="009368AA"/>
    <w:rsid w:val="009368C8"/>
    <w:rsid w:val="00936C17"/>
    <w:rsid w:val="00936C85"/>
    <w:rsid w:val="00937153"/>
    <w:rsid w:val="00937897"/>
    <w:rsid w:val="0093797B"/>
    <w:rsid w:val="00937D42"/>
    <w:rsid w:val="00937E94"/>
    <w:rsid w:val="00937F14"/>
    <w:rsid w:val="009401B4"/>
    <w:rsid w:val="00940438"/>
    <w:rsid w:val="00940488"/>
    <w:rsid w:val="00940B52"/>
    <w:rsid w:val="00940E6D"/>
    <w:rsid w:val="00941195"/>
    <w:rsid w:val="0094154F"/>
    <w:rsid w:val="00941652"/>
    <w:rsid w:val="009416DE"/>
    <w:rsid w:val="00941717"/>
    <w:rsid w:val="009417C5"/>
    <w:rsid w:val="009417CB"/>
    <w:rsid w:val="00941F76"/>
    <w:rsid w:val="00942143"/>
    <w:rsid w:val="0094223D"/>
    <w:rsid w:val="00942476"/>
    <w:rsid w:val="009425EF"/>
    <w:rsid w:val="00942728"/>
    <w:rsid w:val="0094312B"/>
    <w:rsid w:val="009431FD"/>
    <w:rsid w:val="00943497"/>
    <w:rsid w:val="00943562"/>
    <w:rsid w:val="00943624"/>
    <w:rsid w:val="00943971"/>
    <w:rsid w:val="00943A7E"/>
    <w:rsid w:val="00943E85"/>
    <w:rsid w:val="0094452E"/>
    <w:rsid w:val="00944652"/>
    <w:rsid w:val="00944818"/>
    <w:rsid w:val="009448AE"/>
    <w:rsid w:val="00944D55"/>
    <w:rsid w:val="00944EE3"/>
    <w:rsid w:val="00944F15"/>
    <w:rsid w:val="009458B9"/>
    <w:rsid w:val="00945CE3"/>
    <w:rsid w:val="00945D44"/>
    <w:rsid w:val="00946104"/>
    <w:rsid w:val="00946588"/>
    <w:rsid w:val="009469D2"/>
    <w:rsid w:val="00946B08"/>
    <w:rsid w:val="00946C63"/>
    <w:rsid w:val="00946D9A"/>
    <w:rsid w:val="00946E3F"/>
    <w:rsid w:val="00946ED6"/>
    <w:rsid w:val="00946F8B"/>
    <w:rsid w:val="00947274"/>
    <w:rsid w:val="0094741A"/>
    <w:rsid w:val="0094754E"/>
    <w:rsid w:val="009476D7"/>
    <w:rsid w:val="00947B8C"/>
    <w:rsid w:val="0095009E"/>
    <w:rsid w:val="009505D9"/>
    <w:rsid w:val="009509F9"/>
    <w:rsid w:val="00950FED"/>
    <w:rsid w:val="0095184D"/>
    <w:rsid w:val="009518A4"/>
    <w:rsid w:val="00951A76"/>
    <w:rsid w:val="00951C10"/>
    <w:rsid w:val="00951DB9"/>
    <w:rsid w:val="00951ED3"/>
    <w:rsid w:val="00952062"/>
    <w:rsid w:val="00952593"/>
    <w:rsid w:val="00952611"/>
    <w:rsid w:val="00952774"/>
    <w:rsid w:val="009527B1"/>
    <w:rsid w:val="0095286F"/>
    <w:rsid w:val="009529B8"/>
    <w:rsid w:val="00952D11"/>
    <w:rsid w:val="00952D64"/>
    <w:rsid w:val="0095313C"/>
    <w:rsid w:val="0095340F"/>
    <w:rsid w:val="0095388C"/>
    <w:rsid w:val="00953D45"/>
    <w:rsid w:val="00954080"/>
    <w:rsid w:val="0095454E"/>
    <w:rsid w:val="00954B3B"/>
    <w:rsid w:val="0095580A"/>
    <w:rsid w:val="0095586B"/>
    <w:rsid w:val="00955BE9"/>
    <w:rsid w:val="00955D51"/>
    <w:rsid w:val="00955E6E"/>
    <w:rsid w:val="00955EF7"/>
    <w:rsid w:val="0095621F"/>
    <w:rsid w:val="009566A7"/>
    <w:rsid w:val="00956791"/>
    <w:rsid w:val="00956B8B"/>
    <w:rsid w:val="00956C8E"/>
    <w:rsid w:val="00956E02"/>
    <w:rsid w:val="00956E50"/>
    <w:rsid w:val="00956EC8"/>
    <w:rsid w:val="009570E9"/>
    <w:rsid w:val="0095752E"/>
    <w:rsid w:val="00957732"/>
    <w:rsid w:val="00957E3C"/>
    <w:rsid w:val="00960175"/>
    <w:rsid w:val="0096026B"/>
    <w:rsid w:val="0096051D"/>
    <w:rsid w:val="009606CC"/>
    <w:rsid w:val="00960738"/>
    <w:rsid w:val="00960A71"/>
    <w:rsid w:val="00960F18"/>
    <w:rsid w:val="00960F85"/>
    <w:rsid w:val="0096170E"/>
    <w:rsid w:val="00961C15"/>
    <w:rsid w:val="00961D9E"/>
    <w:rsid w:val="00962160"/>
    <w:rsid w:val="009621AB"/>
    <w:rsid w:val="009621F8"/>
    <w:rsid w:val="009622E7"/>
    <w:rsid w:val="0096230F"/>
    <w:rsid w:val="009625E5"/>
    <w:rsid w:val="0096284E"/>
    <w:rsid w:val="00962894"/>
    <w:rsid w:val="00962923"/>
    <w:rsid w:val="009634A6"/>
    <w:rsid w:val="0096364B"/>
    <w:rsid w:val="0096377E"/>
    <w:rsid w:val="00963CB2"/>
    <w:rsid w:val="00963E74"/>
    <w:rsid w:val="00963FD0"/>
    <w:rsid w:val="00964056"/>
    <w:rsid w:val="00964468"/>
    <w:rsid w:val="00964683"/>
    <w:rsid w:val="009647F6"/>
    <w:rsid w:val="00964A0D"/>
    <w:rsid w:val="00964BA2"/>
    <w:rsid w:val="009652F8"/>
    <w:rsid w:val="00965991"/>
    <w:rsid w:val="00965A66"/>
    <w:rsid w:val="00965AF1"/>
    <w:rsid w:val="00966057"/>
    <w:rsid w:val="0096617E"/>
    <w:rsid w:val="0096646D"/>
    <w:rsid w:val="00966508"/>
    <w:rsid w:val="00966709"/>
    <w:rsid w:val="009667DA"/>
    <w:rsid w:val="00966927"/>
    <w:rsid w:val="00966BEE"/>
    <w:rsid w:val="00966C5F"/>
    <w:rsid w:val="009671C8"/>
    <w:rsid w:val="009673DF"/>
    <w:rsid w:val="0096750E"/>
    <w:rsid w:val="009679AA"/>
    <w:rsid w:val="00967C3E"/>
    <w:rsid w:val="00967D8B"/>
    <w:rsid w:val="00967F43"/>
    <w:rsid w:val="009700AD"/>
    <w:rsid w:val="00970128"/>
    <w:rsid w:val="0097039C"/>
    <w:rsid w:val="0097049D"/>
    <w:rsid w:val="00970664"/>
    <w:rsid w:val="00970AC2"/>
    <w:rsid w:val="00970FCA"/>
    <w:rsid w:val="0097108D"/>
    <w:rsid w:val="009711A6"/>
    <w:rsid w:val="00971583"/>
    <w:rsid w:val="009715FE"/>
    <w:rsid w:val="0097173E"/>
    <w:rsid w:val="0097189C"/>
    <w:rsid w:val="009719C7"/>
    <w:rsid w:val="00971AC6"/>
    <w:rsid w:val="00971CDE"/>
    <w:rsid w:val="009723EE"/>
    <w:rsid w:val="00972601"/>
    <w:rsid w:val="0097264A"/>
    <w:rsid w:val="009727BA"/>
    <w:rsid w:val="00973714"/>
    <w:rsid w:val="00973919"/>
    <w:rsid w:val="00973B43"/>
    <w:rsid w:val="00973D05"/>
    <w:rsid w:val="00973DEB"/>
    <w:rsid w:val="00974287"/>
    <w:rsid w:val="009742CE"/>
    <w:rsid w:val="009742D1"/>
    <w:rsid w:val="00974780"/>
    <w:rsid w:val="009748B0"/>
    <w:rsid w:val="009751A0"/>
    <w:rsid w:val="00975C45"/>
    <w:rsid w:val="00975DE5"/>
    <w:rsid w:val="00976449"/>
    <w:rsid w:val="009764C3"/>
    <w:rsid w:val="009765CB"/>
    <w:rsid w:val="0097663C"/>
    <w:rsid w:val="00976AF8"/>
    <w:rsid w:val="00976B58"/>
    <w:rsid w:val="0097719D"/>
    <w:rsid w:val="009771C9"/>
    <w:rsid w:val="00977255"/>
    <w:rsid w:val="009774AB"/>
    <w:rsid w:val="0097750B"/>
    <w:rsid w:val="00977A6C"/>
    <w:rsid w:val="00977DD5"/>
    <w:rsid w:val="00980044"/>
    <w:rsid w:val="009800A7"/>
    <w:rsid w:val="00980158"/>
    <w:rsid w:val="00980414"/>
    <w:rsid w:val="0098049A"/>
    <w:rsid w:val="009804C5"/>
    <w:rsid w:val="00980574"/>
    <w:rsid w:val="00980AFB"/>
    <w:rsid w:val="00980CB6"/>
    <w:rsid w:val="00980DED"/>
    <w:rsid w:val="00980E82"/>
    <w:rsid w:val="00980FBA"/>
    <w:rsid w:val="00981280"/>
    <w:rsid w:val="00981326"/>
    <w:rsid w:val="00981411"/>
    <w:rsid w:val="00981462"/>
    <w:rsid w:val="0098165E"/>
    <w:rsid w:val="009816C4"/>
    <w:rsid w:val="0098191F"/>
    <w:rsid w:val="00981ACE"/>
    <w:rsid w:val="0098205B"/>
    <w:rsid w:val="009821FB"/>
    <w:rsid w:val="00982730"/>
    <w:rsid w:val="00983160"/>
    <w:rsid w:val="00983267"/>
    <w:rsid w:val="009834AB"/>
    <w:rsid w:val="00983550"/>
    <w:rsid w:val="0098370E"/>
    <w:rsid w:val="009839D3"/>
    <w:rsid w:val="009839F1"/>
    <w:rsid w:val="00983B8B"/>
    <w:rsid w:val="00983C74"/>
    <w:rsid w:val="00983F56"/>
    <w:rsid w:val="009841EE"/>
    <w:rsid w:val="00984369"/>
    <w:rsid w:val="00984DE7"/>
    <w:rsid w:val="00984EAC"/>
    <w:rsid w:val="00984FA2"/>
    <w:rsid w:val="00985252"/>
    <w:rsid w:val="009857E1"/>
    <w:rsid w:val="00985B6B"/>
    <w:rsid w:val="009861EC"/>
    <w:rsid w:val="009863D2"/>
    <w:rsid w:val="00986678"/>
    <w:rsid w:val="009867C8"/>
    <w:rsid w:val="00986D2D"/>
    <w:rsid w:val="00986E3D"/>
    <w:rsid w:val="00986E49"/>
    <w:rsid w:val="00987001"/>
    <w:rsid w:val="009870A7"/>
    <w:rsid w:val="00987162"/>
    <w:rsid w:val="00987180"/>
    <w:rsid w:val="0098750F"/>
    <w:rsid w:val="009875F9"/>
    <w:rsid w:val="009876EF"/>
    <w:rsid w:val="00990049"/>
    <w:rsid w:val="0099082A"/>
    <w:rsid w:val="00990993"/>
    <w:rsid w:val="0099099D"/>
    <w:rsid w:val="00990AA6"/>
    <w:rsid w:val="00990B22"/>
    <w:rsid w:val="00990C18"/>
    <w:rsid w:val="00990C6E"/>
    <w:rsid w:val="00990CAA"/>
    <w:rsid w:val="00990F1F"/>
    <w:rsid w:val="00991292"/>
    <w:rsid w:val="009913E8"/>
    <w:rsid w:val="00991B11"/>
    <w:rsid w:val="00991DCB"/>
    <w:rsid w:val="00991E1F"/>
    <w:rsid w:val="00991F41"/>
    <w:rsid w:val="009924A0"/>
    <w:rsid w:val="00992B01"/>
    <w:rsid w:val="00992D50"/>
    <w:rsid w:val="00992DEE"/>
    <w:rsid w:val="00992DF9"/>
    <w:rsid w:val="00992E05"/>
    <w:rsid w:val="009934C4"/>
    <w:rsid w:val="00993584"/>
    <w:rsid w:val="00993780"/>
    <w:rsid w:val="009937DD"/>
    <w:rsid w:val="00993C2E"/>
    <w:rsid w:val="009941C7"/>
    <w:rsid w:val="009942C4"/>
    <w:rsid w:val="009944B3"/>
    <w:rsid w:val="00994572"/>
    <w:rsid w:val="00994779"/>
    <w:rsid w:val="00994930"/>
    <w:rsid w:val="00994F82"/>
    <w:rsid w:val="00995001"/>
    <w:rsid w:val="009950BD"/>
    <w:rsid w:val="009951B4"/>
    <w:rsid w:val="00995540"/>
    <w:rsid w:val="0099563F"/>
    <w:rsid w:val="009957FE"/>
    <w:rsid w:val="00995BA0"/>
    <w:rsid w:val="00995DFB"/>
    <w:rsid w:val="009961A9"/>
    <w:rsid w:val="009965CA"/>
    <w:rsid w:val="00996E88"/>
    <w:rsid w:val="0099717C"/>
    <w:rsid w:val="00997846"/>
    <w:rsid w:val="009A0109"/>
    <w:rsid w:val="009A0A1F"/>
    <w:rsid w:val="009A0B81"/>
    <w:rsid w:val="009A0BB9"/>
    <w:rsid w:val="009A0C4A"/>
    <w:rsid w:val="009A0C63"/>
    <w:rsid w:val="009A1316"/>
    <w:rsid w:val="009A15E4"/>
    <w:rsid w:val="009A187B"/>
    <w:rsid w:val="009A190E"/>
    <w:rsid w:val="009A1925"/>
    <w:rsid w:val="009A195D"/>
    <w:rsid w:val="009A1B89"/>
    <w:rsid w:val="009A1D6D"/>
    <w:rsid w:val="009A276A"/>
    <w:rsid w:val="009A28FD"/>
    <w:rsid w:val="009A2CF9"/>
    <w:rsid w:val="009A2F13"/>
    <w:rsid w:val="009A2F3F"/>
    <w:rsid w:val="009A326D"/>
    <w:rsid w:val="009A3404"/>
    <w:rsid w:val="009A3427"/>
    <w:rsid w:val="009A36EB"/>
    <w:rsid w:val="009A378F"/>
    <w:rsid w:val="009A380A"/>
    <w:rsid w:val="009A3C58"/>
    <w:rsid w:val="009A3D7C"/>
    <w:rsid w:val="009A3E6F"/>
    <w:rsid w:val="009A46B2"/>
    <w:rsid w:val="009A4822"/>
    <w:rsid w:val="009A4D3A"/>
    <w:rsid w:val="009A5104"/>
    <w:rsid w:val="009A530B"/>
    <w:rsid w:val="009A5749"/>
    <w:rsid w:val="009A577C"/>
    <w:rsid w:val="009A5C32"/>
    <w:rsid w:val="009A6205"/>
    <w:rsid w:val="009A6313"/>
    <w:rsid w:val="009A63C3"/>
    <w:rsid w:val="009A6DC5"/>
    <w:rsid w:val="009A7245"/>
    <w:rsid w:val="009A72E5"/>
    <w:rsid w:val="009A72F5"/>
    <w:rsid w:val="009A7480"/>
    <w:rsid w:val="009A777F"/>
    <w:rsid w:val="009A7D23"/>
    <w:rsid w:val="009A7EC6"/>
    <w:rsid w:val="009B001E"/>
    <w:rsid w:val="009B0285"/>
    <w:rsid w:val="009B0356"/>
    <w:rsid w:val="009B03C5"/>
    <w:rsid w:val="009B0401"/>
    <w:rsid w:val="009B05FA"/>
    <w:rsid w:val="009B0867"/>
    <w:rsid w:val="009B08B4"/>
    <w:rsid w:val="009B0A50"/>
    <w:rsid w:val="009B0A7D"/>
    <w:rsid w:val="009B0B3B"/>
    <w:rsid w:val="009B10AA"/>
    <w:rsid w:val="009B13CB"/>
    <w:rsid w:val="009B14B9"/>
    <w:rsid w:val="009B1D5A"/>
    <w:rsid w:val="009B20B2"/>
    <w:rsid w:val="009B229B"/>
    <w:rsid w:val="009B240C"/>
    <w:rsid w:val="009B26CB"/>
    <w:rsid w:val="009B2AF5"/>
    <w:rsid w:val="009B2D0A"/>
    <w:rsid w:val="009B2F13"/>
    <w:rsid w:val="009B33AD"/>
    <w:rsid w:val="009B3423"/>
    <w:rsid w:val="009B373D"/>
    <w:rsid w:val="009B37DE"/>
    <w:rsid w:val="009B3850"/>
    <w:rsid w:val="009B3C54"/>
    <w:rsid w:val="009B3E48"/>
    <w:rsid w:val="009B3F46"/>
    <w:rsid w:val="009B4326"/>
    <w:rsid w:val="009B440B"/>
    <w:rsid w:val="009B4511"/>
    <w:rsid w:val="009B4DB3"/>
    <w:rsid w:val="009B4EB8"/>
    <w:rsid w:val="009B4F74"/>
    <w:rsid w:val="009B5058"/>
    <w:rsid w:val="009B52B2"/>
    <w:rsid w:val="009B53FE"/>
    <w:rsid w:val="009B5453"/>
    <w:rsid w:val="009B550E"/>
    <w:rsid w:val="009B5569"/>
    <w:rsid w:val="009B573E"/>
    <w:rsid w:val="009B5B05"/>
    <w:rsid w:val="009B5DE3"/>
    <w:rsid w:val="009B6186"/>
    <w:rsid w:val="009B650E"/>
    <w:rsid w:val="009B67A2"/>
    <w:rsid w:val="009B68FF"/>
    <w:rsid w:val="009B6986"/>
    <w:rsid w:val="009B6CDF"/>
    <w:rsid w:val="009B706B"/>
    <w:rsid w:val="009B7186"/>
    <w:rsid w:val="009B7394"/>
    <w:rsid w:val="009B765E"/>
    <w:rsid w:val="009B7872"/>
    <w:rsid w:val="009C0480"/>
    <w:rsid w:val="009C0519"/>
    <w:rsid w:val="009C0665"/>
    <w:rsid w:val="009C09A4"/>
    <w:rsid w:val="009C0B3B"/>
    <w:rsid w:val="009C16FF"/>
    <w:rsid w:val="009C175B"/>
    <w:rsid w:val="009C2644"/>
    <w:rsid w:val="009C2782"/>
    <w:rsid w:val="009C2B56"/>
    <w:rsid w:val="009C3086"/>
    <w:rsid w:val="009C316C"/>
    <w:rsid w:val="009C342E"/>
    <w:rsid w:val="009C3C37"/>
    <w:rsid w:val="009C41B3"/>
    <w:rsid w:val="009C47E5"/>
    <w:rsid w:val="009C48B5"/>
    <w:rsid w:val="009C48DF"/>
    <w:rsid w:val="009C566D"/>
    <w:rsid w:val="009C58E2"/>
    <w:rsid w:val="009C5902"/>
    <w:rsid w:val="009C5AF4"/>
    <w:rsid w:val="009C5BCF"/>
    <w:rsid w:val="009C5C38"/>
    <w:rsid w:val="009C5E57"/>
    <w:rsid w:val="009C5FC2"/>
    <w:rsid w:val="009C6055"/>
    <w:rsid w:val="009C623B"/>
    <w:rsid w:val="009C6330"/>
    <w:rsid w:val="009C698F"/>
    <w:rsid w:val="009C6BBD"/>
    <w:rsid w:val="009C6C49"/>
    <w:rsid w:val="009C6EFE"/>
    <w:rsid w:val="009C7182"/>
    <w:rsid w:val="009C739A"/>
    <w:rsid w:val="009C7407"/>
    <w:rsid w:val="009C7470"/>
    <w:rsid w:val="009C7620"/>
    <w:rsid w:val="009C7878"/>
    <w:rsid w:val="009C7906"/>
    <w:rsid w:val="009C7932"/>
    <w:rsid w:val="009C7FAD"/>
    <w:rsid w:val="009D0093"/>
    <w:rsid w:val="009D032F"/>
    <w:rsid w:val="009D0399"/>
    <w:rsid w:val="009D053A"/>
    <w:rsid w:val="009D0582"/>
    <w:rsid w:val="009D08D8"/>
    <w:rsid w:val="009D0AA6"/>
    <w:rsid w:val="009D1012"/>
    <w:rsid w:val="009D11A1"/>
    <w:rsid w:val="009D1259"/>
    <w:rsid w:val="009D1809"/>
    <w:rsid w:val="009D1AF7"/>
    <w:rsid w:val="009D1CB3"/>
    <w:rsid w:val="009D1DFB"/>
    <w:rsid w:val="009D2081"/>
    <w:rsid w:val="009D247E"/>
    <w:rsid w:val="009D2649"/>
    <w:rsid w:val="009D2794"/>
    <w:rsid w:val="009D288D"/>
    <w:rsid w:val="009D2938"/>
    <w:rsid w:val="009D298D"/>
    <w:rsid w:val="009D305F"/>
    <w:rsid w:val="009D33D3"/>
    <w:rsid w:val="009D3589"/>
    <w:rsid w:val="009D37B8"/>
    <w:rsid w:val="009D3C09"/>
    <w:rsid w:val="009D3C10"/>
    <w:rsid w:val="009D3D16"/>
    <w:rsid w:val="009D428C"/>
    <w:rsid w:val="009D466E"/>
    <w:rsid w:val="009D4751"/>
    <w:rsid w:val="009D477E"/>
    <w:rsid w:val="009D4814"/>
    <w:rsid w:val="009D4922"/>
    <w:rsid w:val="009D4B1D"/>
    <w:rsid w:val="009D4FC0"/>
    <w:rsid w:val="009D52BB"/>
    <w:rsid w:val="009D5398"/>
    <w:rsid w:val="009D54B2"/>
    <w:rsid w:val="009D5664"/>
    <w:rsid w:val="009D5B40"/>
    <w:rsid w:val="009D5C68"/>
    <w:rsid w:val="009D5FDE"/>
    <w:rsid w:val="009D621F"/>
    <w:rsid w:val="009D6490"/>
    <w:rsid w:val="009D6822"/>
    <w:rsid w:val="009D693A"/>
    <w:rsid w:val="009D6AA5"/>
    <w:rsid w:val="009D6B0D"/>
    <w:rsid w:val="009D6B30"/>
    <w:rsid w:val="009D6B74"/>
    <w:rsid w:val="009D6BD0"/>
    <w:rsid w:val="009D7051"/>
    <w:rsid w:val="009D70C5"/>
    <w:rsid w:val="009D70F9"/>
    <w:rsid w:val="009D763B"/>
    <w:rsid w:val="009D7790"/>
    <w:rsid w:val="009D79F3"/>
    <w:rsid w:val="009D7AE4"/>
    <w:rsid w:val="009D7BEC"/>
    <w:rsid w:val="009D7E2D"/>
    <w:rsid w:val="009D7F1F"/>
    <w:rsid w:val="009E03A3"/>
    <w:rsid w:val="009E0407"/>
    <w:rsid w:val="009E0681"/>
    <w:rsid w:val="009E0B03"/>
    <w:rsid w:val="009E105F"/>
    <w:rsid w:val="009E10B9"/>
    <w:rsid w:val="009E12EF"/>
    <w:rsid w:val="009E148A"/>
    <w:rsid w:val="009E158F"/>
    <w:rsid w:val="009E1C0D"/>
    <w:rsid w:val="009E1EF6"/>
    <w:rsid w:val="009E1F62"/>
    <w:rsid w:val="009E2137"/>
    <w:rsid w:val="009E2275"/>
    <w:rsid w:val="009E23E6"/>
    <w:rsid w:val="009E242A"/>
    <w:rsid w:val="009E24C8"/>
    <w:rsid w:val="009E26F0"/>
    <w:rsid w:val="009E270B"/>
    <w:rsid w:val="009E293E"/>
    <w:rsid w:val="009E2976"/>
    <w:rsid w:val="009E29A5"/>
    <w:rsid w:val="009E2F7E"/>
    <w:rsid w:val="009E31A0"/>
    <w:rsid w:val="009E329B"/>
    <w:rsid w:val="009E3BCC"/>
    <w:rsid w:val="009E416E"/>
    <w:rsid w:val="009E4178"/>
    <w:rsid w:val="009E4249"/>
    <w:rsid w:val="009E4FA3"/>
    <w:rsid w:val="009E5082"/>
    <w:rsid w:val="009E53B1"/>
    <w:rsid w:val="009E53FA"/>
    <w:rsid w:val="009E5486"/>
    <w:rsid w:val="009E578E"/>
    <w:rsid w:val="009E599C"/>
    <w:rsid w:val="009E5B86"/>
    <w:rsid w:val="009E6107"/>
    <w:rsid w:val="009E615E"/>
    <w:rsid w:val="009E625C"/>
    <w:rsid w:val="009E62E4"/>
    <w:rsid w:val="009E6414"/>
    <w:rsid w:val="009E665F"/>
    <w:rsid w:val="009E69CE"/>
    <w:rsid w:val="009E6A24"/>
    <w:rsid w:val="009E6DDB"/>
    <w:rsid w:val="009E7035"/>
    <w:rsid w:val="009E70D5"/>
    <w:rsid w:val="009E7136"/>
    <w:rsid w:val="009E71BB"/>
    <w:rsid w:val="009E7261"/>
    <w:rsid w:val="009E72EE"/>
    <w:rsid w:val="009E738B"/>
    <w:rsid w:val="009E73A9"/>
    <w:rsid w:val="009E744E"/>
    <w:rsid w:val="009E75A6"/>
    <w:rsid w:val="009E7C0A"/>
    <w:rsid w:val="009E7DA3"/>
    <w:rsid w:val="009E7DBF"/>
    <w:rsid w:val="009E7F27"/>
    <w:rsid w:val="009F012D"/>
    <w:rsid w:val="009F0A53"/>
    <w:rsid w:val="009F0DF4"/>
    <w:rsid w:val="009F0ED4"/>
    <w:rsid w:val="009F1005"/>
    <w:rsid w:val="009F10FF"/>
    <w:rsid w:val="009F1140"/>
    <w:rsid w:val="009F1194"/>
    <w:rsid w:val="009F132C"/>
    <w:rsid w:val="009F14A9"/>
    <w:rsid w:val="009F1709"/>
    <w:rsid w:val="009F1951"/>
    <w:rsid w:val="009F1B90"/>
    <w:rsid w:val="009F21AD"/>
    <w:rsid w:val="009F2356"/>
    <w:rsid w:val="009F256E"/>
    <w:rsid w:val="009F2717"/>
    <w:rsid w:val="009F28CF"/>
    <w:rsid w:val="009F2D01"/>
    <w:rsid w:val="009F2EE6"/>
    <w:rsid w:val="009F31B0"/>
    <w:rsid w:val="009F33C4"/>
    <w:rsid w:val="009F3526"/>
    <w:rsid w:val="009F371A"/>
    <w:rsid w:val="009F3B5F"/>
    <w:rsid w:val="009F3D2C"/>
    <w:rsid w:val="009F405F"/>
    <w:rsid w:val="009F4280"/>
    <w:rsid w:val="009F47DF"/>
    <w:rsid w:val="009F4999"/>
    <w:rsid w:val="009F4B1D"/>
    <w:rsid w:val="009F556A"/>
    <w:rsid w:val="009F557B"/>
    <w:rsid w:val="009F56A9"/>
    <w:rsid w:val="009F5808"/>
    <w:rsid w:val="009F5A32"/>
    <w:rsid w:val="009F5D37"/>
    <w:rsid w:val="009F5DB4"/>
    <w:rsid w:val="009F5EA9"/>
    <w:rsid w:val="009F60BE"/>
    <w:rsid w:val="009F61B9"/>
    <w:rsid w:val="009F65A7"/>
    <w:rsid w:val="009F6D91"/>
    <w:rsid w:val="009F709E"/>
    <w:rsid w:val="009F71D4"/>
    <w:rsid w:val="009F729C"/>
    <w:rsid w:val="009F73B1"/>
    <w:rsid w:val="009F7A39"/>
    <w:rsid w:val="009F7A66"/>
    <w:rsid w:val="009F7AE1"/>
    <w:rsid w:val="00A0013F"/>
    <w:rsid w:val="00A002FF"/>
    <w:rsid w:val="00A00366"/>
    <w:rsid w:val="00A00655"/>
    <w:rsid w:val="00A00766"/>
    <w:rsid w:val="00A00B23"/>
    <w:rsid w:val="00A00DAD"/>
    <w:rsid w:val="00A00DE9"/>
    <w:rsid w:val="00A00E78"/>
    <w:rsid w:val="00A00EB7"/>
    <w:rsid w:val="00A00F3D"/>
    <w:rsid w:val="00A00FD8"/>
    <w:rsid w:val="00A01231"/>
    <w:rsid w:val="00A012B4"/>
    <w:rsid w:val="00A013BD"/>
    <w:rsid w:val="00A016CF"/>
    <w:rsid w:val="00A01A45"/>
    <w:rsid w:val="00A01B0D"/>
    <w:rsid w:val="00A021A8"/>
    <w:rsid w:val="00A021CA"/>
    <w:rsid w:val="00A0242A"/>
    <w:rsid w:val="00A0262F"/>
    <w:rsid w:val="00A026A7"/>
    <w:rsid w:val="00A02A01"/>
    <w:rsid w:val="00A02AA5"/>
    <w:rsid w:val="00A02C20"/>
    <w:rsid w:val="00A033F2"/>
    <w:rsid w:val="00A03856"/>
    <w:rsid w:val="00A038A0"/>
    <w:rsid w:val="00A03A21"/>
    <w:rsid w:val="00A03F3D"/>
    <w:rsid w:val="00A03F65"/>
    <w:rsid w:val="00A041C8"/>
    <w:rsid w:val="00A04307"/>
    <w:rsid w:val="00A044AF"/>
    <w:rsid w:val="00A0469D"/>
    <w:rsid w:val="00A04D30"/>
    <w:rsid w:val="00A04F98"/>
    <w:rsid w:val="00A05018"/>
    <w:rsid w:val="00A050ED"/>
    <w:rsid w:val="00A050F7"/>
    <w:rsid w:val="00A0511E"/>
    <w:rsid w:val="00A05899"/>
    <w:rsid w:val="00A05915"/>
    <w:rsid w:val="00A060CF"/>
    <w:rsid w:val="00A0613B"/>
    <w:rsid w:val="00A06241"/>
    <w:rsid w:val="00A062C2"/>
    <w:rsid w:val="00A063C0"/>
    <w:rsid w:val="00A064FC"/>
    <w:rsid w:val="00A067B3"/>
    <w:rsid w:val="00A0698E"/>
    <w:rsid w:val="00A06B0F"/>
    <w:rsid w:val="00A06CC4"/>
    <w:rsid w:val="00A0721C"/>
    <w:rsid w:val="00A07892"/>
    <w:rsid w:val="00A078C9"/>
    <w:rsid w:val="00A078CE"/>
    <w:rsid w:val="00A07A81"/>
    <w:rsid w:val="00A07C6F"/>
    <w:rsid w:val="00A07EFA"/>
    <w:rsid w:val="00A10266"/>
    <w:rsid w:val="00A102AB"/>
    <w:rsid w:val="00A10472"/>
    <w:rsid w:val="00A107BD"/>
    <w:rsid w:val="00A10C20"/>
    <w:rsid w:val="00A10DF8"/>
    <w:rsid w:val="00A10ECC"/>
    <w:rsid w:val="00A10F66"/>
    <w:rsid w:val="00A11016"/>
    <w:rsid w:val="00A1163E"/>
    <w:rsid w:val="00A117BB"/>
    <w:rsid w:val="00A119C6"/>
    <w:rsid w:val="00A12094"/>
    <w:rsid w:val="00A12308"/>
    <w:rsid w:val="00A128EF"/>
    <w:rsid w:val="00A129E9"/>
    <w:rsid w:val="00A12C13"/>
    <w:rsid w:val="00A12C45"/>
    <w:rsid w:val="00A12C49"/>
    <w:rsid w:val="00A12C57"/>
    <w:rsid w:val="00A12EF2"/>
    <w:rsid w:val="00A1314B"/>
    <w:rsid w:val="00A13384"/>
    <w:rsid w:val="00A13765"/>
    <w:rsid w:val="00A137D9"/>
    <w:rsid w:val="00A13E3D"/>
    <w:rsid w:val="00A140BF"/>
    <w:rsid w:val="00A141ED"/>
    <w:rsid w:val="00A14396"/>
    <w:rsid w:val="00A147B2"/>
    <w:rsid w:val="00A1480D"/>
    <w:rsid w:val="00A14970"/>
    <w:rsid w:val="00A14BBF"/>
    <w:rsid w:val="00A14EC8"/>
    <w:rsid w:val="00A15040"/>
    <w:rsid w:val="00A153FE"/>
    <w:rsid w:val="00A156A9"/>
    <w:rsid w:val="00A15886"/>
    <w:rsid w:val="00A159C7"/>
    <w:rsid w:val="00A15B3B"/>
    <w:rsid w:val="00A15E51"/>
    <w:rsid w:val="00A1623C"/>
    <w:rsid w:val="00A1648B"/>
    <w:rsid w:val="00A164C9"/>
    <w:rsid w:val="00A16588"/>
    <w:rsid w:val="00A16692"/>
    <w:rsid w:val="00A1671A"/>
    <w:rsid w:val="00A16A67"/>
    <w:rsid w:val="00A16BE5"/>
    <w:rsid w:val="00A16FA8"/>
    <w:rsid w:val="00A1702A"/>
    <w:rsid w:val="00A1748A"/>
    <w:rsid w:val="00A1758B"/>
    <w:rsid w:val="00A17B45"/>
    <w:rsid w:val="00A17B5A"/>
    <w:rsid w:val="00A17E26"/>
    <w:rsid w:val="00A20A27"/>
    <w:rsid w:val="00A20B64"/>
    <w:rsid w:val="00A20C89"/>
    <w:rsid w:val="00A20E57"/>
    <w:rsid w:val="00A2161C"/>
    <w:rsid w:val="00A217DB"/>
    <w:rsid w:val="00A218EC"/>
    <w:rsid w:val="00A21974"/>
    <w:rsid w:val="00A21A95"/>
    <w:rsid w:val="00A2229D"/>
    <w:rsid w:val="00A2239E"/>
    <w:rsid w:val="00A226EB"/>
    <w:rsid w:val="00A22EA6"/>
    <w:rsid w:val="00A23242"/>
    <w:rsid w:val="00A2382A"/>
    <w:rsid w:val="00A23898"/>
    <w:rsid w:val="00A239F8"/>
    <w:rsid w:val="00A23CED"/>
    <w:rsid w:val="00A23D20"/>
    <w:rsid w:val="00A23DA3"/>
    <w:rsid w:val="00A24140"/>
    <w:rsid w:val="00A245D3"/>
    <w:rsid w:val="00A24CA7"/>
    <w:rsid w:val="00A24D2B"/>
    <w:rsid w:val="00A24EE4"/>
    <w:rsid w:val="00A24EF3"/>
    <w:rsid w:val="00A250A8"/>
    <w:rsid w:val="00A2538D"/>
    <w:rsid w:val="00A25467"/>
    <w:rsid w:val="00A25563"/>
    <w:rsid w:val="00A25606"/>
    <w:rsid w:val="00A25894"/>
    <w:rsid w:val="00A258F7"/>
    <w:rsid w:val="00A25913"/>
    <w:rsid w:val="00A25B40"/>
    <w:rsid w:val="00A25E4B"/>
    <w:rsid w:val="00A25EFC"/>
    <w:rsid w:val="00A25F2A"/>
    <w:rsid w:val="00A25F40"/>
    <w:rsid w:val="00A2608B"/>
    <w:rsid w:val="00A26489"/>
    <w:rsid w:val="00A2656E"/>
    <w:rsid w:val="00A26A81"/>
    <w:rsid w:val="00A26DEB"/>
    <w:rsid w:val="00A272CA"/>
    <w:rsid w:val="00A27301"/>
    <w:rsid w:val="00A274DB"/>
    <w:rsid w:val="00A274F5"/>
    <w:rsid w:val="00A27500"/>
    <w:rsid w:val="00A2793E"/>
    <w:rsid w:val="00A27B28"/>
    <w:rsid w:val="00A27CCB"/>
    <w:rsid w:val="00A300E9"/>
    <w:rsid w:val="00A301E6"/>
    <w:rsid w:val="00A30362"/>
    <w:rsid w:val="00A3038A"/>
    <w:rsid w:val="00A304EF"/>
    <w:rsid w:val="00A309EE"/>
    <w:rsid w:val="00A30A0F"/>
    <w:rsid w:val="00A30A4B"/>
    <w:rsid w:val="00A31129"/>
    <w:rsid w:val="00A3115A"/>
    <w:rsid w:val="00A312BC"/>
    <w:rsid w:val="00A315F7"/>
    <w:rsid w:val="00A31646"/>
    <w:rsid w:val="00A3165B"/>
    <w:rsid w:val="00A320C6"/>
    <w:rsid w:val="00A32115"/>
    <w:rsid w:val="00A32308"/>
    <w:rsid w:val="00A32BF2"/>
    <w:rsid w:val="00A32D11"/>
    <w:rsid w:val="00A32E84"/>
    <w:rsid w:val="00A32EF2"/>
    <w:rsid w:val="00A3314B"/>
    <w:rsid w:val="00A33166"/>
    <w:rsid w:val="00A33238"/>
    <w:rsid w:val="00A334B2"/>
    <w:rsid w:val="00A33C75"/>
    <w:rsid w:val="00A34227"/>
    <w:rsid w:val="00A3428A"/>
    <w:rsid w:val="00A34412"/>
    <w:rsid w:val="00A34924"/>
    <w:rsid w:val="00A34A0C"/>
    <w:rsid w:val="00A34AD8"/>
    <w:rsid w:val="00A34F27"/>
    <w:rsid w:val="00A353D6"/>
    <w:rsid w:val="00A358CB"/>
    <w:rsid w:val="00A35BBF"/>
    <w:rsid w:val="00A35D0E"/>
    <w:rsid w:val="00A3605B"/>
    <w:rsid w:val="00A363C9"/>
    <w:rsid w:val="00A364A8"/>
    <w:rsid w:val="00A364B6"/>
    <w:rsid w:val="00A365F4"/>
    <w:rsid w:val="00A369D9"/>
    <w:rsid w:val="00A36AD3"/>
    <w:rsid w:val="00A36C42"/>
    <w:rsid w:val="00A37008"/>
    <w:rsid w:val="00A37439"/>
    <w:rsid w:val="00A374C0"/>
    <w:rsid w:val="00A3755C"/>
    <w:rsid w:val="00A375D8"/>
    <w:rsid w:val="00A37973"/>
    <w:rsid w:val="00A37A68"/>
    <w:rsid w:val="00A37BE0"/>
    <w:rsid w:val="00A37C4F"/>
    <w:rsid w:val="00A37C5A"/>
    <w:rsid w:val="00A37D37"/>
    <w:rsid w:val="00A4021E"/>
    <w:rsid w:val="00A405E3"/>
    <w:rsid w:val="00A40947"/>
    <w:rsid w:val="00A40A7B"/>
    <w:rsid w:val="00A40BE6"/>
    <w:rsid w:val="00A40C31"/>
    <w:rsid w:val="00A418C9"/>
    <w:rsid w:val="00A4198E"/>
    <w:rsid w:val="00A41A92"/>
    <w:rsid w:val="00A41CA6"/>
    <w:rsid w:val="00A41FA8"/>
    <w:rsid w:val="00A422D4"/>
    <w:rsid w:val="00A42525"/>
    <w:rsid w:val="00A426CC"/>
    <w:rsid w:val="00A42B46"/>
    <w:rsid w:val="00A42D95"/>
    <w:rsid w:val="00A432DA"/>
    <w:rsid w:val="00A43313"/>
    <w:rsid w:val="00A433F9"/>
    <w:rsid w:val="00A43569"/>
    <w:rsid w:val="00A4394F"/>
    <w:rsid w:val="00A43987"/>
    <w:rsid w:val="00A43A08"/>
    <w:rsid w:val="00A4486A"/>
    <w:rsid w:val="00A44939"/>
    <w:rsid w:val="00A44F6D"/>
    <w:rsid w:val="00A452CD"/>
    <w:rsid w:val="00A45782"/>
    <w:rsid w:val="00A45A03"/>
    <w:rsid w:val="00A45C1B"/>
    <w:rsid w:val="00A45E56"/>
    <w:rsid w:val="00A45FE4"/>
    <w:rsid w:val="00A4612B"/>
    <w:rsid w:val="00A462D2"/>
    <w:rsid w:val="00A463B1"/>
    <w:rsid w:val="00A46796"/>
    <w:rsid w:val="00A468D5"/>
    <w:rsid w:val="00A46B91"/>
    <w:rsid w:val="00A46B9F"/>
    <w:rsid w:val="00A46BF5"/>
    <w:rsid w:val="00A46F13"/>
    <w:rsid w:val="00A47167"/>
    <w:rsid w:val="00A473C1"/>
    <w:rsid w:val="00A47531"/>
    <w:rsid w:val="00A47802"/>
    <w:rsid w:val="00A478BB"/>
    <w:rsid w:val="00A478D8"/>
    <w:rsid w:val="00A50258"/>
    <w:rsid w:val="00A502BF"/>
    <w:rsid w:val="00A502D9"/>
    <w:rsid w:val="00A5112B"/>
    <w:rsid w:val="00A511F8"/>
    <w:rsid w:val="00A51295"/>
    <w:rsid w:val="00A51953"/>
    <w:rsid w:val="00A519A0"/>
    <w:rsid w:val="00A519AF"/>
    <w:rsid w:val="00A51A7D"/>
    <w:rsid w:val="00A51A91"/>
    <w:rsid w:val="00A51B0B"/>
    <w:rsid w:val="00A51BA7"/>
    <w:rsid w:val="00A51D17"/>
    <w:rsid w:val="00A52248"/>
    <w:rsid w:val="00A522E9"/>
    <w:rsid w:val="00A524EC"/>
    <w:rsid w:val="00A52782"/>
    <w:rsid w:val="00A52C1B"/>
    <w:rsid w:val="00A52C28"/>
    <w:rsid w:val="00A52D85"/>
    <w:rsid w:val="00A52F79"/>
    <w:rsid w:val="00A53477"/>
    <w:rsid w:val="00A5360E"/>
    <w:rsid w:val="00A53618"/>
    <w:rsid w:val="00A53B23"/>
    <w:rsid w:val="00A543D7"/>
    <w:rsid w:val="00A54428"/>
    <w:rsid w:val="00A54CA1"/>
    <w:rsid w:val="00A54DD1"/>
    <w:rsid w:val="00A55263"/>
    <w:rsid w:val="00A55422"/>
    <w:rsid w:val="00A55723"/>
    <w:rsid w:val="00A557F1"/>
    <w:rsid w:val="00A55978"/>
    <w:rsid w:val="00A55CEE"/>
    <w:rsid w:val="00A56040"/>
    <w:rsid w:val="00A5609E"/>
    <w:rsid w:val="00A56312"/>
    <w:rsid w:val="00A56742"/>
    <w:rsid w:val="00A56A14"/>
    <w:rsid w:val="00A56BB3"/>
    <w:rsid w:val="00A56CA2"/>
    <w:rsid w:val="00A56E48"/>
    <w:rsid w:val="00A56EF2"/>
    <w:rsid w:val="00A57033"/>
    <w:rsid w:val="00A572B3"/>
    <w:rsid w:val="00A5748B"/>
    <w:rsid w:val="00A57527"/>
    <w:rsid w:val="00A57619"/>
    <w:rsid w:val="00A576B7"/>
    <w:rsid w:val="00A57736"/>
    <w:rsid w:val="00A577B6"/>
    <w:rsid w:val="00A578F0"/>
    <w:rsid w:val="00A57C60"/>
    <w:rsid w:val="00A57C7D"/>
    <w:rsid w:val="00A57EDC"/>
    <w:rsid w:val="00A57FFB"/>
    <w:rsid w:val="00A60284"/>
    <w:rsid w:val="00A609F3"/>
    <w:rsid w:val="00A60DE5"/>
    <w:rsid w:val="00A60EB9"/>
    <w:rsid w:val="00A60EBA"/>
    <w:rsid w:val="00A6155A"/>
    <w:rsid w:val="00A616AB"/>
    <w:rsid w:val="00A6182A"/>
    <w:rsid w:val="00A619D8"/>
    <w:rsid w:val="00A61B86"/>
    <w:rsid w:val="00A620DC"/>
    <w:rsid w:val="00A62303"/>
    <w:rsid w:val="00A6234D"/>
    <w:rsid w:val="00A6250C"/>
    <w:rsid w:val="00A6258B"/>
    <w:rsid w:val="00A62641"/>
    <w:rsid w:val="00A627B9"/>
    <w:rsid w:val="00A6283B"/>
    <w:rsid w:val="00A62BB4"/>
    <w:rsid w:val="00A62EEB"/>
    <w:rsid w:val="00A63564"/>
    <w:rsid w:val="00A63812"/>
    <w:rsid w:val="00A63A3A"/>
    <w:rsid w:val="00A63B3C"/>
    <w:rsid w:val="00A63C93"/>
    <w:rsid w:val="00A643B7"/>
    <w:rsid w:val="00A64A95"/>
    <w:rsid w:val="00A64ABF"/>
    <w:rsid w:val="00A64BA9"/>
    <w:rsid w:val="00A6505C"/>
    <w:rsid w:val="00A651DD"/>
    <w:rsid w:val="00A65575"/>
    <w:rsid w:val="00A65616"/>
    <w:rsid w:val="00A659D5"/>
    <w:rsid w:val="00A65A0E"/>
    <w:rsid w:val="00A65CF8"/>
    <w:rsid w:val="00A65E6B"/>
    <w:rsid w:val="00A65F5F"/>
    <w:rsid w:val="00A663EF"/>
    <w:rsid w:val="00A6669E"/>
    <w:rsid w:val="00A66794"/>
    <w:rsid w:val="00A66B45"/>
    <w:rsid w:val="00A66C8B"/>
    <w:rsid w:val="00A66C94"/>
    <w:rsid w:val="00A66DA3"/>
    <w:rsid w:val="00A66FFE"/>
    <w:rsid w:val="00A67053"/>
    <w:rsid w:val="00A6717C"/>
    <w:rsid w:val="00A67183"/>
    <w:rsid w:val="00A675CE"/>
    <w:rsid w:val="00A6767C"/>
    <w:rsid w:val="00A677F2"/>
    <w:rsid w:val="00A679CC"/>
    <w:rsid w:val="00A67B93"/>
    <w:rsid w:val="00A67EA7"/>
    <w:rsid w:val="00A67F21"/>
    <w:rsid w:val="00A67F35"/>
    <w:rsid w:val="00A67FF2"/>
    <w:rsid w:val="00A7003C"/>
    <w:rsid w:val="00A70071"/>
    <w:rsid w:val="00A708F5"/>
    <w:rsid w:val="00A70984"/>
    <w:rsid w:val="00A70D70"/>
    <w:rsid w:val="00A70D86"/>
    <w:rsid w:val="00A70E3F"/>
    <w:rsid w:val="00A710BB"/>
    <w:rsid w:val="00A711C9"/>
    <w:rsid w:val="00A7147F"/>
    <w:rsid w:val="00A7152C"/>
    <w:rsid w:val="00A715FC"/>
    <w:rsid w:val="00A71AAA"/>
    <w:rsid w:val="00A7206F"/>
    <w:rsid w:val="00A72178"/>
    <w:rsid w:val="00A72333"/>
    <w:rsid w:val="00A7233F"/>
    <w:rsid w:val="00A7239A"/>
    <w:rsid w:val="00A724F5"/>
    <w:rsid w:val="00A725BD"/>
    <w:rsid w:val="00A725DA"/>
    <w:rsid w:val="00A72609"/>
    <w:rsid w:val="00A7276D"/>
    <w:rsid w:val="00A72F6E"/>
    <w:rsid w:val="00A7324D"/>
    <w:rsid w:val="00A736F6"/>
    <w:rsid w:val="00A73C9B"/>
    <w:rsid w:val="00A73CFA"/>
    <w:rsid w:val="00A73DE9"/>
    <w:rsid w:val="00A74086"/>
    <w:rsid w:val="00A742FD"/>
    <w:rsid w:val="00A744E1"/>
    <w:rsid w:val="00A749B0"/>
    <w:rsid w:val="00A749CB"/>
    <w:rsid w:val="00A74A9C"/>
    <w:rsid w:val="00A74DDC"/>
    <w:rsid w:val="00A75099"/>
    <w:rsid w:val="00A75214"/>
    <w:rsid w:val="00A7545D"/>
    <w:rsid w:val="00A75579"/>
    <w:rsid w:val="00A757B3"/>
    <w:rsid w:val="00A75945"/>
    <w:rsid w:val="00A759AD"/>
    <w:rsid w:val="00A75B56"/>
    <w:rsid w:val="00A76192"/>
    <w:rsid w:val="00A766CA"/>
    <w:rsid w:val="00A76742"/>
    <w:rsid w:val="00A76924"/>
    <w:rsid w:val="00A76993"/>
    <w:rsid w:val="00A769C1"/>
    <w:rsid w:val="00A7751E"/>
    <w:rsid w:val="00A7754C"/>
    <w:rsid w:val="00A77A28"/>
    <w:rsid w:val="00A77D83"/>
    <w:rsid w:val="00A77D92"/>
    <w:rsid w:val="00A77E4C"/>
    <w:rsid w:val="00A77E90"/>
    <w:rsid w:val="00A80464"/>
    <w:rsid w:val="00A8053A"/>
    <w:rsid w:val="00A80926"/>
    <w:rsid w:val="00A80950"/>
    <w:rsid w:val="00A80B07"/>
    <w:rsid w:val="00A80B38"/>
    <w:rsid w:val="00A80B7E"/>
    <w:rsid w:val="00A80E95"/>
    <w:rsid w:val="00A80F5D"/>
    <w:rsid w:val="00A812A4"/>
    <w:rsid w:val="00A8152B"/>
    <w:rsid w:val="00A8154A"/>
    <w:rsid w:val="00A817CE"/>
    <w:rsid w:val="00A8182A"/>
    <w:rsid w:val="00A81A8F"/>
    <w:rsid w:val="00A81BC7"/>
    <w:rsid w:val="00A81C17"/>
    <w:rsid w:val="00A82212"/>
    <w:rsid w:val="00A822F6"/>
    <w:rsid w:val="00A8234B"/>
    <w:rsid w:val="00A82930"/>
    <w:rsid w:val="00A82992"/>
    <w:rsid w:val="00A82D5D"/>
    <w:rsid w:val="00A82F8A"/>
    <w:rsid w:val="00A82F9B"/>
    <w:rsid w:val="00A83552"/>
    <w:rsid w:val="00A83666"/>
    <w:rsid w:val="00A83718"/>
    <w:rsid w:val="00A839EA"/>
    <w:rsid w:val="00A83C68"/>
    <w:rsid w:val="00A83C70"/>
    <w:rsid w:val="00A84098"/>
    <w:rsid w:val="00A84294"/>
    <w:rsid w:val="00A842CF"/>
    <w:rsid w:val="00A844B3"/>
    <w:rsid w:val="00A846DC"/>
    <w:rsid w:val="00A8479D"/>
    <w:rsid w:val="00A84AA8"/>
    <w:rsid w:val="00A84BA6"/>
    <w:rsid w:val="00A84E93"/>
    <w:rsid w:val="00A84E9D"/>
    <w:rsid w:val="00A85084"/>
    <w:rsid w:val="00A8519D"/>
    <w:rsid w:val="00A85478"/>
    <w:rsid w:val="00A854B0"/>
    <w:rsid w:val="00A8558D"/>
    <w:rsid w:val="00A85714"/>
    <w:rsid w:val="00A862E4"/>
    <w:rsid w:val="00A86510"/>
    <w:rsid w:val="00A86863"/>
    <w:rsid w:val="00A86B4C"/>
    <w:rsid w:val="00A86D87"/>
    <w:rsid w:val="00A86DB5"/>
    <w:rsid w:val="00A87206"/>
    <w:rsid w:val="00A8726F"/>
    <w:rsid w:val="00A87627"/>
    <w:rsid w:val="00A87CFC"/>
    <w:rsid w:val="00A87F19"/>
    <w:rsid w:val="00A900DD"/>
    <w:rsid w:val="00A90132"/>
    <w:rsid w:val="00A9055F"/>
    <w:rsid w:val="00A90DA5"/>
    <w:rsid w:val="00A9100E"/>
    <w:rsid w:val="00A91529"/>
    <w:rsid w:val="00A91625"/>
    <w:rsid w:val="00A91764"/>
    <w:rsid w:val="00A918FB"/>
    <w:rsid w:val="00A91BA9"/>
    <w:rsid w:val="00A91E82"/>
    <w:rsid w:val="00A91F61"/>
    <w:rsid w:val="00A91FC9"/>
    <w:rsid w:val="00A91FF8"/>
    <w:rsid w:val="00A920E5"/>
    <w:rsid w:val="00A92262"/>
    <w:rsid w:val="00A926F6"/>
    <w:rsid w:val="00A93109"/>
    <w:rsid w:val="00A938F0"/>
    <w:rsid w:val="00A93C8A"/>
    <w:rsid w:val="00A93D81"/>
    <w:rsid w:val="00A93E3A"/>
    <w:rsid w:val="00A93F41"/>
    <w:rsid w:val="00A93F98"/>
    <w:rsid w:val="00A94024"/>
    <w:rsid w:val="00A94304"/>
    <w:rsid w:val="00A9436C"/>
    <w:rsid w:val="00A944A2"/>
    <w:rsid w:val="00A9467A"/>
    <w:rsid w:val="00A947A7"/>
    <w:rsid w:val="00A948C8"/>
    <w:rsid w:val="00A94970"/>
    <w:rsid w:val="00A949E2"/>
    <w:rsid w:val="00A949FA"/>
    <w:rsid w:val="00A94C2A"/>
    <w:rsid w:val="00A95065"/>
    <w:rsid w:val="00A95575"/>
    <w:rsid w:val="00A958B7"/>
    <w:rsid w:val="00A95949"/>
    <w:rsid w:val="00A95C24"/>
    <w:rsid w:val="00A95E76"/>
    <w:rsid w:val="00A9615E"/>
    <w:rsid w:val="00A96400"/>
    <w:rsid w:val="00A96469"/>
    <w:rsid w:val="00A965E5"/>
    <w:rsid w:val="00A9677F"/>
    <w:rsid w:val="00A969C5"/>
    <w:rsid w:val="00A969E0"/>
    <w:rsid w:val="00A96A28"/>
    <w:rsid w:val="00A96BE4"/>
    <w:rsid w:val="00A971C1"/>
    <w:rsid w:val="00A9738C"/>
    <w:rsid w:val="00A975CC"/>
    <w:rsid w:val="00A97639"/>
    <w:rsid w:val="00A97683"/>
    <w:rsid w:val="00A97D2C"/>
    <w:rsid w:val="00AA013D"/>
    <w:rsid w:val="00AA0211"/>
    <w:rsid w:val="00AA0280"/>
    <w:rsid w:val="00AA0901"/>
    <w:rsid w:val="00AA0AB1"/>
    <w:rsid w:val="00AA0CE8"/>
    <w:rsid w:val="00AA0F2C"/>
    <w:rsid w:val="00AA0FC3"/>
    <w:rsid w:val="00AA0FF7"/>
    <w:rsid w:val="00AA12F5"/>
    <w:rsid w:val="00AA1592"/>
    <w:rsid w:val="00AA170D"/>
    <w:rsid w:val="00AA17F7"/>
    <w:rsid w:val="00AA1C0A"/>
    <w:rsid w:val="00AA1F39"/>
    <w:rsid w:val="00AA213D"/>
    <w:rsid w:val="00AA2151"/>
    <w:rsid w:val="00AA2203"/>
    <w:rsid w:val="00AA26A2"/>
    <w:rsid w:val="00AA29F3"/>
    <w:rsid w:val="00AA2A89"/>
    <w:rsid w:val="00AA2D4F"/>
    <w:rsid w:val="00AA2E90"/>
    <w:rsid w:val="00AA2F2C"/>
    <w:rsid w:val="00AA36B9"/>
    <w:rsid w:val="00AA37CB"/>
    <w:rsid w:val="00AA380C"/>
    <w:rsid w:val="00AA3B0F"/>
    <w:rsid w:val="00AA3C86"/>
    <w:rsid w:val="00AA3E85"/>
    <w:rsid w:val="00AA40DE"/>
    <w:rsid w:val="00AA415F"/>
    <w:rsid w:val="00AA420E"/>
    <w:rsid w:val="00AA444B"/>
    <w:rsid w:val="00AA48F2"/>
    <w:rsid w:val="00AA55DD"/>
    <w:rsid w:val="00AA5646"/>
    <w:rsid w:val="00AA57A0"/>
    <w:rsid w:val="00AA591D"/>
    <w:rsid w:val="00AA59A5"/>
    <w:rsid w:val="00AA5B02"/>
    <w:rsid w:val="00AA5B45"/>
    <w:rsid w:val="00AA5F19"/>
    <w:rsid w:val="00AA6107"/>
    <w:rsid w:val="00AA61D1"/>
    <w:rsid w:val="00AA66C9"/>
    <w:rsid w:val="00AA6998"/>
    <w:rsid w:val="00AA6C6D"/>
    <w:rsid w:val="00AA6EDD"/>
    <w:rsid w:val="00AA6EF4"/>
    <w:rsid w:val="00AA6F1A"/>
    <w:rsid w:val="00AA6F80"/>
    <w:rsid w:val="00AA6FF1"/>
    <w:rsid w:val="00AA7139"/>
    <w:rsid w:val="00AA7508"/>
    <w:rsid w:val="00AA75A3"/>
    <w:rsid w:val="00AA7603"/>
    <w:rsid w:val="00AA7CEA"/>
    <w:rsid w:val="00AB00F9"/>
    <w:rsid w:val="00AB042B"/>
    <w:rsid w:val="00AB0455"/>
    <w:rsid w:val="00AB08DC"/>
    <w:rsid w:val="00AB0988"/>
    <w:rsid w:val="00AB0A00"/>
    <w:rsid w:val="00AB0AA2"/>
    <w:rsid w:val="00AB0B2D"/>
    <w:rsid w:val="00AB0ECF"/>
    <w:rsid w:val="00AB125D"/>
    <w:rsid w:val="00AB1345"/>
    <w:rsid w:val="00AB1391"/>
    <w:rsid w:val="00AB1595"/>
    <w:rsid w:val="00AB19A2"/>
    <w:rsid w:val="00AB235F"/>
    <w:rsid w:val="00AB26E0"/>
    <w:rsid w:val="00AB29AF"/>
    <w:rsid w:val="00AB2D2D"/>
    <w:rsid w:val="00AB30BC"/>
    <w:rsid w:val="00AB336C"/>
    <w:rsid w:val="00AB352E"/>
    <w:rsid w:val="00AB37EF"/>
    <w:rsid w:val="00AB3C30"/>
    <w:rsid w:val="00AB3C33"/>
    <w:rsid w:val="00AB3F3C"/>
    <w:rsid w:val="00AB40FC"/>
    <w:rsid w:val="00AB410F"/>
    <w:rsid w:val="00AB413D"/>
    <w:rsid w:val="00AB4485"/>
    <w:rsid w:val="00AB44BA"/>
    <w:rsid w:val="00AB45D4"/>
    <w:rsid w:val="00AB45F6"/>
    <w:rsid w:val="00AB474A"/>
    <w:rsid w:val="00AB4A55"/>
    <w:rsid w:val="00AB4A8E"/>
    <w:rsid w:val="00AB4E6A"/>
    <w:rsid w:val="00AB510A"/>
    <w:rsid w:val="00AB5119"/>
    <w:rsid w:val="00AB54D7"/>
    <w:rsid w:val="00AB55D6"/>
    <w:rsid w:val="00AB5760"/>
    <w:rsid w:val="00AB62CD"/>
    <w:rsid w:val="00AB6590"/>
    <w:rsid w:val="00AB676C"/>
    <w:rsid w:val="00AB68C5"/>
    <w:rsid w:val="00AB6903"/>
    <w:rsid w:val="00AB69F0"/>
    <w:rsid w:val="00AB6A6E"/>
    <w:rsid w:val="00AB6AF5"/>
    <w:rsid w:val="00AB70E6"/>
    <w:rsid w:val="00AB719A"/>
    <w:rsid w:val="00AB7969"/>
    <w:rsid w:val="00AB7989"/>
    <w:rsid w:val="00AB7CC1"/>
    <w:rsid w:val="00AC0000"/>
    <w:rsid w:val="00AC05A9"/>
    <w:rsid w:val="00AC0AF0"/>
    <w:rsid w:val="00AC0B17"/>
    <w:rsid w:val="00AC0B8D"/>
    <w:rsid w:val="00AC0C73"/>
    <w:rsid w:val="00AC1068"/>
    <w:rsid w:val="00AC18B7"/>
    <w:rsid w:val="00AC1BBA"/>
    <w:rsid w:val="00AC1C80"/>
    <w:rsid w:val="00AC1ECF"/>
    <w:rsid w:val="00AC1F41"/>
    <w:rsid w:val="00AC21C2"/>
    <w:rsid w:val="00AC2246"/>
    <w:rsid w:val="00AC2497"/>
    <w:rsid w:val="00AC2576"/>
    <w:rsid w:val="00AC298D"/>
    <w:rsid w:val="00AC2AC5"/>
    <w:rsid w:val="00AC2FF0"/>
    <w:rsid w:val="00AC335C"/>
    <w:rsid w:val="00AC34FC"/>
    <w:rsid w:val="00AC3521"/>
    <w:rsid w:val="00AC3657"/>
    <w:rsid w:val="00AC3672"/>
    <w:rsid w:val="00AC3764"/>
    <w:rsid w:val="00AC38A8"/>
    <w:rsid w:val="00AC3C19"/>
    <w:rsid w:val="00AC3F14"/>
    <w:rsid w:val="00AC404F"/>
    <w:rsid w:val="00AC41A5"/>
    <w:rsid w:val="00AC453E"/>
    <w:rsid w:val="00AC47C1"/>
    <w:rsid w:val="00AC498E"/>
    <w:rsid w:val="00AC4BF3"/>
    <w:rsid w:val="00AC4F33"/>
    <w:rsid w:val="00AC5182"/>
    <w:rsid w:val="00AC534C"/>
    <w:rsid w:val="00AC56F7"/>
    <w:rsid w:val="00AC5815"/>
    <w:rsid w:val="00AC6CDD"/>
    <w:rsid w:val="00AC6EA1"/>
    <w:rsid w:val="00AC6FB6"/>
    <w:rsid w:val="00AC71A3"/>
    <w:rsid w:val="00AC78D1"/>
    <w:rsid w:val="00AC78DC"/>
    <w:rsid w:val="00AC7B28"/>
    <w:rsid w:val="00AC7C6D"/>
    <w:rsid w:val="00AC7E6E"/>
    <w:rsid w:val="00AD0042"/>
    <w:rsid w:val="00AD0048"/>
    <w:rsid w:val="00AD049E"/>
    <w:rsid w:val="00AD0EEA"/>
    <w:rsid w:val="00AD0F65"/>
    <w:rsid w:val="00AD10CE"/>
    <w:rsid w:val="00AD15AB"/>
    <w:rsid w:val="00AD172D"/>
    <w:rsid w:val="00AD1851"/>
    <w:rsid w:val="00AD18DD"/>
    <w:rsid w:val="00AD1A10"/>
    <w:rsid w:val="00AD1AFC"/>
    <w:rsid w:val="00AD1D33"/>
    <w:rsid w:val="00AD20AF"/>
    <w:rsid w:val="00AD2125"/>
    <w:rsid w:val="00AD24A6"/>
    <w:rsid w:val="00AD26C6"/>
    <w:rsid w:val="00AD2CED"/>
    <w:rsid w:val="00AD310B"/>
    <w:rsid w:val="00AD33BC"/>
    <w:rsid w:val="00AD3479"/>
    <w:rsid w:val="00AD34C2"/>
    <w:rsid w:val="00AD3514"/>
    <w:rsid w:val="00AD3606"/>
    <w:rsid w:val="00AD3799"/>
    <w:rsid w:val="00AD3BE8"/>
    <w:rsid w:val="00AD3D01"/>
    <w:rsid w:val="00AD43B0"/>
    <w:rsid w:val="00AD4743"/>
    <w:rsid w:val="00AD47A8"/>
    <w:rsid w:val="00AD4F01"/>
    <w:rsid w:val="00AD5303"/>
    <w:rsid w:val="00AD5386"/>
    <w:rsid w:val="00AD53B1"/>
    <w:rsid w:val="00AD5B65"/>
    <w:rsid w:val="00AD5E08"/>
    <w:rsid w:val="00AD5EFA"/>
    <w:rsid w:val="00AD621F"/>
    <w:rsid w:val="00AD62D1"/>
    <w:rsid w:val="00AD64F0"/>
    <w:rsid w:val="00AD6518"/>
    <w:rsid w:val="00AD6572"/>
    <w:rsid w:val="00AD6852"/>
    <w:rsid w:val="00AD6C2A"/>
    <w:rsid w:val="00AD6F99"/>
    <w:rsid w:val="00AD783B"/>
    <w:rsid w:val="00AD7AA7"/>
    <w:rsid w:val="00AD7C96"/>
    <w:rsid w:val="00AD7E76"/>
    <w:rsid w:val="00AD7E9E"/>
    <w:rsid w:val="00AD7FCF"/>
    <w:rsid w:val="00AE0522"/>
    <w:rsid w:val="00AE0CCB"/>
    <w:rsid w:val="00AE0EF2"/>
    <w:rsid w:val="00AE0F1B"/>
    <w:rsid w:val="00AE0F43"/>
    <w:rsid w:val="00AE1278"/>
    <w:rsid w:val="00AE1350"/>
    <w:rsid w:val="00AE155F"/>
    <w:rsid w:val="00AE1663"/>
    <w:rsid w:val="00AE1B78"/>
    <w:rsid w:val="00AE1BFA"/>
    <w:rsid w:val="00AE1D42"/>
    <w:rsid w:val="00AE1E0C"/>
    <w:rsid w:val="00AE21C2"/>
    <w:rsid w:val="00AE2D00"/>
    <w:rsid w:val="00AE2DFF"/>
    <w:rsid w:val="00AE3003"/>
    <w:rsid w:val="00AE3379"/>
    <w:rsid w:val="00AE35D8"/>
    <w:rsid w:val="00AE3DA2"/>
    <w:rsid w:val="00AE3DEE"/>
    <w:rsid w:val="00AE4092"/>
    <w:rsid w:val="00AE40F2"/>
    <w:rsid w:val="00AE40FF"/>
    <w:rsid w:val="00AE4201"/>
    <w:rsid w:val="00AE44BE"/>
    <w:rsid w:val="00AE47D8"/>
    <w:rsid w:val="00AE499F"/>
    <w:rsid w:val="00AE4B8D"/>
    <w:rsid w:val="00AE58F9"/>
    <w:rsid w:val="00AE592F"/>
    <w:rsid w:val="00AE5F61"/>
    <w:rsid w:val="00AE6BC6"/>
    <w:rsid w:val="00AE6F4B"/>
    <w:rsid w:val="00AE70F1"/>
    <w:rsid w:val="00AE71A8"/>
    <w:rsid w:val="00AE71D3"/>
    <w:rsid w:val="00AE7658"/>
    <w:rsid w:val="00AE7F3D"/>
    <w:rsid w:val="00AE7FFB"/>
    <w:rsid w:val="00AF006D"/>
    <w:rsid w:val="00AF0136"/>
    <w:rsid w:val="00AF039F"/>
    <w:rsid w:val="00AF03C3"/>
    <w:rsid w:val="00AF05FF"/>
    <w:rsid w:val="00AF0A49"/>
    <w:rsid w:val="00AF0DE5"/>
    <w:rsid w:val="00AF12EE"/>
    <w:rsid w:val="00AF1606"/>
    <w:rsid w:val="00AF1620"/>
    <w:rsid w:val="00AF21C5"/>
    <w:rsid w:val="00AF25CC"/>
    <w:rsid w:val="00AF2A67"/>
    <w:rsid w:val="00AF2B71"/>
    <w:rsid w:val="00AF2F19"/>
    <w:rsid w:val="00AF354A"/>
    <w:rsid w:val="00AF382D"/>
    <w:rsid w:val="00AF38DD"/>
    <w:rsid w:val="00AF3A4E"/>
    <w:rsid w:val="00AF3BF4"/>
    <w:rsid w:val="00AF3D5E"/>
    <w:rsid w:val="00AF4188"/>
    <w:rsid w:val="00AF467F"/>
    <w:rsid w:val="00AF48DC"/>
    <w:rsid w:val="00AF4A6F"/>
    <w:rsid w:val="00AF51DF"/>
    <w:rsid w:val="00AF5241"/>
    <w:rsid w:val="00AF562D"/>
    <w:rsid w:val="00AF5A7F"/>
    <w:rsid w:val="00AF5BDC"/>
    <w:rsid w:val="00AF5CA4"/>
    <w:rsid w:val="00AF6324"/>
    <w:rsid w:val="00AF63FA"/>
    <w:rsid w:val="00AF6466"/>
    <w:rsid w:val="00AF65B4"/>
    <w:rsid w:val="00AF673E"/>
    <w:rsid w:val="00AF692C"/>
    <w:rsid w:val="00AF6B16"/>
    <w:rsid w:val="00AF6FD2"/>
    <w:rsid w:val="00AF72B9"/>
    <w:rsid w:val="00AF7663"/>
    <w:rsid w:val="00AF76E5"/>
    <w:rsid w:val="00AF7977"/>
    <w:rsid w:val="00AF7A91"/>
    <w:rsid w:val="00AF7C75"/>
    <w:rsid w:val="00AF7D3F"/>
    <w:rsid w:val="00AF7E2D"/>
    <w:rsid w:val="00B00432"/>
    <w:rsid w:val="00B00C0C"/>
    <w:rsid w:val="00B00CDF"/>
    <w:rsid w:val="00B00CEC"/>
    <w:rsid w:val="00B00E1C"/>
    <w:rsid w:val="00B00F38"/>
    <w:rsid w:val="00B0111F"/>
    <w:rsid w:val="00B01391"/>
    <w:rsid w:val="00B01512"/>
    <w:rsid w:val="00B01FEC"/>
    <w:rsid w:val="00B02389"/>
    <w:rsid w:val="00B02667"/>
    <w:rsid w:val="00B02885"/>
    <w:rsid w:val="00B02B8E"/>
    <w:rsid w:val="00B02BBA"/>
    <w:rsid w:val="00B02FF2"/>
    <w:rsid w:val="00B030D6"/>
    <w:rsid w:val="00B0316E"/>
    <w:rsid w:val="00B03443"/>
    <w:rsid w:val="00B036AF"/>
    <w:rsid w:val="00B03A25"/>
    <w:rsid w:val="00B03A41"/>
    <w:rsid w:val="00B03D1A"/>
    <w:rsid w:val="00B041C0"/>
    <w:rsid w:val="00B04525"/>
    <w:rsid w:val="00B04D0C"/>
    <w:rsid w:val="00B0541A"/>
    <w:rsid w:val="00B055C6"/>
    <w:rsid w:val="00B056E3"/>
    <w:rsid w:val="00B0582E"/>
    <w:rsid w:val="00B059EA"/>
    <w:rsid w:val="00B06257"/>
    <w:rsid w:val="00B06344"/>
    <w:rsid w:val="00B063B0"/>
    <w:rsid w:val="00B06463"/>
    <w:rsid w:val="00B065AE"/>
    <w:rsid w:val="00B066C1"/>
    <w:rsid w:val="00B06775"/>
    <w:rsid w:val="00B067DA"/>
    <w:rsid w:val="00B06A28"/>
    <w:rsid w:val="00B06C1E"/>
    <w:rsid w:val="00B06E79"/>
    <w:rsid w:val="00B0706E"/>
    <w:rsid w:val="00B076AF"/>
    <w:rsid w:val="00B07756"/>
    <w:rsid w:val="00B07DDC"/>
    <w:rsid w:val="00B10105"/>
    <w:rsid w:val="00B10625"/>
    <w:rsid w:val="00B10AD4"/>
    <w:rsid w:val="00B10B8F"/>
    <w:rsid w:val="00B10EDF"/>
    <w:rsid w:val="00B11038"/>
    <w:rsid w:val="00B1133A"/>
    <w:rsid w:val="00B11371"/>
    <w:rsid w:val="00B11E44"/>
    <w:rsid w:val="00B11E60"/>
    <w:rsid w:val="00B11FAD"/>
    <w:rsid w:val="00B1202F"/>
    <w:rsid w:val="00B12240"/>
    <w:rsid w:val="00B12699"/>
    <w:rsid w:val="00B1287A"/>
    <w:rsid w:val="00B12B53"/>
    <w:rsid w:val="00B12BB4"/>
    <w:rsid w:val="00B12D42"/>
    <w:rsid w:val="00B13113"/>
    <w:rsid w:val="00B13385"/>
    <w:rsid w:val="00B13426"/>
    <w:rsid w:val="00B13D58"/>
    <w:rsid w:val="00B1400F"/>
    <w:rsid w:val="00B14312"/>
    <w:rsid w:val="00B14A10"/>
    <w:rsid w:val="00B14CF5"/>
    <w:rsid w:val="00B14E88"/>
    <w:rsid w:val="00B15640"/>
    <w:rsid w:val="00B1592A"/>
    <w:rsid w:val="00B161C5"/>
    <w:rsid w:val="00B163D5"/>
    <w:rsid w:val="00B16497"/>
    <w:rsid w:val="00B16753"/>
    <w:rsid w:val="00B1675C"/>
    <w:rsid w:val="00B167B8"/>
    <w:rsid w:val="00B16898"/>
    <w:rsid w:val="00B1691D"/>
    <w:rsid w:val="00B16A2F"/>
    <w:rsid w:val="00B16BA3"/>
    <w:rsid w:val="00B16E8D"/>
    <w:rsid w:val="00B16F0B"/>
    <w:rsid w:val="00B17322"/>
    <w:rsid w:val="00B1748B"/>
    <w:rsid w:val="00B1750F"/>
    <w:rsid w:val="00B177E8"/>
    <w:rsid w:val="00B17BCF"/>
    <w:rsid w:val="00B17E46"/>
    <w:rsid w:val="00B20134"/>
    <w:rsid w:val="00B20A33"/>
    <w:rsid w:val="00B20A6A"/>
    <w:rsid w:val="00B20B16"/>
    <w:rsid w:val="00B20CFE"/>
    <w:rsid w:val="00B20EF1"/>
    <w:rsid w:val="00B2107B"/>
    <w:rsid w:val="00B21207"/>
    <w:rsid w:val="00B213CC"/>
    <w:rsid w:val="00B2144A"/>
    <w:rsid w:val="00B2146F"/>
    <w:rsid w:val="00B214A9"/>
    <w:rsid w:val="00B215C8"/>
    <w:rsid w:val="00B21BEE"/>
    <w:rsid w:val="00B21EFD"/>
    <w:rsid w:val="00B21F42"/>
    <w:rsid w:val="00B22093"/>
    <w:rsid w:val="00B2212F"/>
    <w:rsid w:val="00B2216D"/>
    <w:rsid w:val="00B224B1"/>
    <w:rsid w:val="00B224E2"/>
    <w:rsid w:val="00B22647"/>
    <w:rsid w:val="00B22758"/>
    <w:rsid w:val="00B2275D"/>
    <w:rsid w:val="00B22C4C"/>
    <w:rsid w:val="00B238C2"/>
    <w:rsid w:val="00B23ADC"/>
    <w:rsid w:val="00B23B29"/>
    <w:rsid w:val="00B23F7D"/>
    <w:rsid w:val="00B243F2"/>
    <w:rsid w:val="00B24483"/>
    <w:rsid w:val="00B24CA3"/>
    <w:rsid w:val="00B24E28"/>
    <w:rsid w:val="00B25A6F"/>
    <w:rsid w:val="00B25FF4"/>
    <w:rsid w:val="00B26067"/>
    <w:rsid w:val="00B26693"/>
    <w:rsid w:val="00B266AE"/>
    <w:rsid w:val="00B269A7"/>
    <w:rsid w:val="00B26C29"/>
    <w:rsid w:val="00B26D08"/>
    <w:rsid w:val="00B26ECE"/>
    <w:rsid w:val="00B277CA"/>
    <w:rsid w:val="00B27D15"/>
    <w:rsid w:val="00B27FBD"/>
    <w:rsid w:val="00B3012B"/>
    <w:rsid w:val="00B3073D"/>
    <w:rsid w:val="00B311D9"/>
    <w:rsid w:val="00B319B8"/>
    <w:rsid w:val="00B31B12"/>
    <w:rsid w:val="00B31FE3"/>
    <w:rsid w:val="00B32077"/>
    <w:rsid w:val="00B32190"/>
    <w:rsid w:val="00B323C5"/>
    <w:rsid w:val="00B32EF9"/>
    <w:rsid w:val="00B32FE2"/>
    <w:rsid w:val="00B332E5"/>
    <w:rsid w:val="00B334D2"/>
    <w:rsid w:val="00B3392F"/>
    <w:rsid w:val="00B33C33"/>
    <w:rsid w:val="00B33DFD"/>
    <w:rsid w:val="00B3415F"/>
    <w:rsid w:val="00B345DE"/>
    <w:rsid w:val="00B3468B"/>
    <w:rsid w:val="00B347BD"/>
    <w:rsid w:val="00B34905"/>
    <w:rsid w:val="00B34957"/>
    <w:rsid w:val="00B353EC"/>
    <w:rsid w:val="00B35926"/>
    <w:rsid w:val="00B35DBB"/>
    <w:rsid w:val="00B360D6"/>
    <w:rsid w:val="00B36164"/>
    <w:rsid w:val="00B36436"/>
    <w:rsid w:val="00B364C6"/>
    <w:rsid w:val="00B364D3"/>
    <w:rsid w:val="00B36608"/>
    <w:rsid w:val="00B36AB2"/>
    <w:rsid w:val="00B36AE0"/>
    <w:rsid w:val="00B36E56"/>
    <w:rsid w:val="00B36F5D"/>
    <w:rsid w:val="00B36FF8"/>
    <w:rsid w:val="00B37018"/>
    <w:rsid w:val="00B37109"/>
    <w:rsid w:val="00B3717B"/>
    <w:rsid w:val="00B372A8"/>
    <w:rsid w:val="00B37439"/>
    <w:rsid w:val="00B376AA"/>
    <w:rsid w:val="00B37828"/>
    <w:rsid w:val="00B3790E"/>
    <w:rsid w:val="00B37972"/>
    <w:rsid w:val="00B37CE4"/>
    <w:rsid w:val="00B37E81"/>
    <w:rsid w:val="00B37EF2"/>
    <w:rsid w:val="00B400B4"/>
    <w:rsid w:val="00B4011F"/>
    <w:rsid w:val="00B4015B"/>
    <w:rsid w:val="00B40468"/>
    <w:rsid w:val="00B40644"/>
    <w:rsid w:val="00B407CC"/>
    <w:rsid w:val="00B40A13"/>
    <w:rsid w:val="00B40CAF"/>
    <w:rsid w:val="00B40CDD"/>
    <w:rsid w:val="00B40DDA"/>
    <w:rsid w:val="00B40E7A"/>
    <w:rsid w:val="00B40ED7"/>
    <w:rsid w:val="00B40FD6"/>
    <w:rsid w:val="00B41981"/>
    <w:rsid w:val="00B419AE"/>
    <w:rsid w:val="00B41F60"/>
    <w:rsid w:val="00B425B0"/>
    <w:rsid w:val="00B425FA"/>
    <w:rsid w:val="00B42779"/>
    <w:rsid w:val="00B429F3"/>
    <w:rsid w:val="00B42D5B"/>
    <w:rsid w:val="00B42E15"/>
    <w:rsid w:val="00B42F6A"/>
    <w:rsid w:val="00B4321D"/>
    <w:rsid w:val="00B435C4"/>
    <w:rsid w:val="00B43679"/>
    <w:rsid w:val="00B436C3"/>
    <w:rsid w:val="00B43703"/>
    <w:rsid w:val="00B43768"/>
    <w:rsid w:val="00B43C30"/>
    <w:rsid w:val="00B4412D"/>
    <w:rsid w:val="00B44589"/>
    <w:rsid w:val="00B44853"/>
    <w:rsid w:val="00B44859"/>
    <w:rsid w:val="00B44AF2"/>
    <w:rsid w:val="00B44B33"/>
    <w:rsid w:val="00B44E3A"/>
    <w:rsid w:val="00B4526C"/>
    <w:rsid w:val="00B452D1"/>
    <w:rsid w:val="00B4553B"/>
    <w:rsid w:val="00B45727"/>
    <w:rsid w:val="00B459F4"/>
    <w:rsid w:val="00B45C0C"/>
    <w:rsid w:val="00B45C60"/>
    <w:rsid w:val="00B45E5F"/>
    <w:rsid w:val="00B45EDA"/>
    <w:rsid w:val="00B45F6F"/>
    <w:rsid w:val="00B45F96"/>
    <w:rsid w:val="00B4671B"/>
    <w:rsid w:val="00B4674A"/>
    <w:rsid w:val="00B46916"/>
    <w:rsid w:val="00B46950"/>
    <w:rsid w:val="00B46A86"/>
    <w:rsid w:val="00B46B84"/>
    <w:rsid w:val="00B46CB9"/>
    <w:rsid w:val="00B46F9C"/>
    <w:rsid w:val="00B470AB"/>
    <w:rsid w:val="00B473A5"/>
    <w:rsid w:val="00B475AB"/>
    <w:rsid w:val="00B476D4"/>
    <w:rsid w:val="00B47701"/>
    <w:rsid w:val="00B4773F"/>
    <w:rsid w:val="00B47B20"/>
    <w:rsid w:val="00B47D4B"/>
    <w:rsid w:val="00B504BC"/>
    <w:rsid w:val="00B50576"/>
    <w:rsid w:val="00B505D5"/>
    <w:rsid w:val="00B5073C"/>
    <w:rsid w:val="00B50A2F"/>
    <w:rsid w:val="00B50FFF"/>
    <w:rsid w:val="00B5116B"/>
    <w:rsid w:val="00B51297"/>
    <w:rsid w:val="00B51430"/>
    <w:rsid w:val="00B51D58"/>
    <w:rsid w:val="00B51DA4"/>
    <w:rsid w:val="00B5210B"/>
    <w:rsid w:val="00B5217C"/>
    <w:rsid w:val="00B52838"/>
    <w:rsid w:val="00B529D6"/>
    <w:rsid w:val="00B52BD8"/>
    <w:rsid w:val="00B52E05"/>
    <w:rsid w:val="00B53451"/>
    <w:rsid w:val="00B535D1"/>
    <w:rsid w:val="00B53F75"/>
    <w:rsid w:val="00B54074"/>
    <w:rsid w:val="00B5415A"/>
    <w:rsid w:val="00B541C4"/>
    <w:rsid w:val="00B54361"/>
    <w:rsid w:val="00B546A9"/>
    <w:rsid w:val="00B548CD"/>
    <w:rsid w:val="00B5492B"/>
    <w:rsid w:val="00B54AAF"/>
    <w:rsid w:val="00B54B14"/>
    <w:rsid w:val="00B54B5A"/>
    <w:rsid w:val="00B54B6A"/>
    <w:rsid w:val="00B54FB7"/>
    <w:rsid w:val="00B55073"/>
    <w:rsid w:val="00B553DD"/>
    <w:rsid w:val="00B55625"/>
    <w:rsid w:val="00B55711"/>
    <w:rsid w:val="00B558BB"/>
    <w:rsid w:val="00B55B28"/>
    <w:rsid w:val="00B562BF"/>
    <w:rsid w:val="00B565E2"/>
    <w:rsid w:val="00B56636"/>
    <w:rsid w:val="00B56746"/>
    <w:rsid w:val="00B568D0"/>
    <w:rsid w:val="00B56EB1"/>
    <w:rsid w:val="00B56ECD"/>
    <w:rsid w:val="00B56F49"/>
    <w:rsid w:val="00B5723C"/>
    <w:rsid w:val="00B574E6"/>
    <w:rsid w:val="00B57763"/>
    <w:rsid w:val="00B577F7"/>
    <w:rsid w:val="00B57927"/>
    <w:rsid w:val="00B579BB"/>
    <w:rsid w:val="00B57C15"/>
    <w:rsid w:val="00B604FB"/>
    <w:rsid w:val="00B60E36"/>
    <w:rsid w:val="00B60F94"/>
    <w:rsid w:val="00B60FB0"/>
    <w:rsid w:val="00B613CF"/>
    <w:rsid w:val="00B61DA6"/>
    <w:rsid w:val="00B620DE"/>
    <w:rsid w:val="00B6256E"/>
    <w:rsid w:val="00B62B00"/>
    <w:rsid w:val="00B62C43"/>
    <w:rsid w:val="00B62E77"/>
    <w:rsid w:val="00B63067"/>
    <w:rsid w:val="00B63158"/>
    <w:rsid w:val="00B632F2"/>
    <w:rsid w:val="00B6370B"/>
    <w:rsid w:val="00B63E33"/>
    <w:rsid w:val="00B6472D"/>
    <w:rsid w:val="00B6473D"/>
    <w:rsid w:val="00B64A8A"/>
    <w:rsid w:val="00B64C6A"/>
    <w:rsid w:val="00B64DF8"/>
    <w:rsid w:val="00B64F41"/>
    <w:rsid w:val="00B654F7"/>
    <w:rsid w:val="00B65529"/>
    <w:rsid w:val="00B657B7"/>
    <w:rsid w:val="00B65839"/>
    <w:rsid w:val="00B658F0"/>
    <w:rsid w:val="00B65B8B"/>
    <w:rsid w:val="00B65E42"/>
    <w:rsid w:val="00B65F42"/>
    <w:rsid w:val="00B66024"/>
    <w:rsid w:val="00B66077"/>
    <w:rsid w:val="00B66208"/>
    <w:rsid w:val="00B66308"/>
    <w:rsid w:val="00B6646D"/>
    <w:rsid w:val="00B6699B"/>
    <w:rsid w:val="00B66D05"/>
    <w:rsid w:val="00B67471"/>
    <w:rsid w:val="00B67512"/>
    <w:rsid w:val="00B6767B"/>
    <w:rsid w:val="00B67778"/>
    <w:rsid w:val="00B67A47"/>
    <w:rsid w:val="00B67B1C"/>
    <w:rsid w:val="00B67C9F"/>
    <w:rsid w:val="00B67D26"/>
    <w:rsid w:val="00B7014B"/>
    <w:rsid w:val="00B70200"/>
    <w:rsid w:val="00B70237"/>
    <w:rsid w:val="00B7080E"/>
    <w:rsid w:val="00B70B57"/>
    <w:rsid w:val="00B70C10"/>
    <w:rsid w:val="00B70D5F"/>
    <w:rsid w:val="00B70E76"/>
    <w:rsid w:val="00B71072"/>
    <w:rsid w:val="00B7129C"/>
    <w:rsid w:val="00B712B0"/>
    <w:rsid w:val="00B717AA"/>
    <w:rsid w:val="00B7181E"/>
    <w:rsid w:val="00B71B77"/>
    <w:rsid w:val="00B725AF"/>
    <w:rsid w:val="00B725ED"/>
    <w:rsid w:val="00B72678"/>
    <w:rsid w:val="00B726EA"/>
    <w:rsid w:val="00B72B8C"/>
    <w:rsid w:val="00B72D89"/>
    <w:rsid w:val="00B7325E"/>
    <w:rsid w:val="00B732F7"/>
    <w:rsid w:val="00B7341A"/>
    <w:rsid w:val="00B73970"/>
    <w:rsid w:val="00B73AC3"/>
    <w:rsid w:val="00B73EDD"/>
    <w:rsid w:val="00B73F74"/>
    <w:rsid w:val="00B74A72"/>
    <w:rsid w:val="00B74DFB"/>
    <w:rsid w:val="00B74FBB"/>
    <w:rsid w:val="00B750C0"/>
    <w:rsid w:val="00B75282"/>
    <w:rsid w:val="00B7576A"/>
    <w:rsid w:val="00B7582E"/>
    <w:rsid w:val="00B7598F"/>
    <w:rsid w:val="00B75B0B"/>
    <w:rsid w:val="00B75DC5"/>
    <w:rsid w:val="00B76085"/>
    <w:rsid w:val="00B763D2"/>
    <w:rsid w:val="00B7651D"/>
    <w:rsid w:val="00B7656E"/>
    <w:rsid w:val="00B767BC"/>
    <w:rsid w:val="00B769AA"/>
    <w:rsid w:val="00B76DB8"/>
    <w:rsid w:val="00B77321"/>
    <w:rsid w:val="00B77539"/>
    <w:rsid w:val="00B7764E"/>
    <w:rsid w:val="00B77E6A"/>
    <w:rsid w:val="00B77FBB"/>
    <w:rsid w:val="00B8023E"/>
    <w:rsid w:val="00B80504"/>
    <w:rsid w:val="00B80691"/>
    <w:rsid w:val="00B80692"/>
    <w:rsid w:val="00B80A40"/>
    <w:rsid w:val="00B80C48"/>
    <w:rsid w:val="00B80DB5"/>
    <w:rsid w:val="00B80F8E"/>
    <w:rsid w:val="00B8104C"/>
    <w:rsid w:val="00B815AE"/>
    <w:rsid w:val="00B81603"/>
    <w:rsid w:val="00B816C5"/>
    <w:rsid w:val="00B816EF"/>
    <w:rsid w:val="00B81711"/>
    <w:rsid w:val="00B8173C"/>
    <w:rsid w:val="00B818E5"/>
    <w:rsid w:val="00B8191B"/>
    <w:rsid w:val="00B81A4A"/>
    <w:rsid w:val="00B81BF3"/>
    <w:rsid w:val="00B81C0A"/>
    <w:rsid w:val="00B81C1F"/>
    <w:rsid w:val="00B81C84"/>
    <w:rsid w:val="00B821F9"/>
    <w:rsid w:val="00B82993"/>
    <w:rsid w:val="00B82BC0"/>
    <w:rsid w:val="00B82F63"/>
    <w:rsid w:val="00B82F7C"/>
    <w:rsid w:val="00B830B6"/>
    <w:rsid w:val="00B831CA"/>
    <w:rsid w:val="00B8355C"/>
    <w:rsid w:val="00B83CA3"/>
    <w:rsid w:val="00B83DB1"/>
    <w:rsid w:val="00B840FF"/>
    <w:rsid w:val="00B84618"/>
    <w:rsid w:val="00B84772"/>
    <w:rsid w:val="00B84787"/>
    <w:rsid w:val="00B84991"/>
    <w:rsid w:val="00B84A16"/>
    <w:rsid w:val="00B84BC1"/>
    <w:rsid w:val="00B84E71"/>
    <w:rsid w:val="00B84FD4"/>
    <w:rsid w:val="00B84FDA"/>
    <w:rsid w:val="00B85072"/>
    <w:rsid w:val="00B85388"/>
    <w:rsid w:val="00B85A05"/>
    <w:rsid w:val="00B85D0C"/>
    <w:rsid w:val="00B860BD"/>
    <w:rsid w:val="00B863E9"/>
    <w:rsid w:val="00B86753"/>
    <w:rsid w:val="00B867DE"/>
    <w:rsid w:val="00B86893"/>
    <w:rsid w:val="00B868CC"/>
    <w:rsid w:val="00B86A16"/>
    <w:rsid w:val="00B86C0E"/>
    <w:rsid w:val="00B86E8F"/>
    <w:rsid w:val="00B86FBC"/>
    <w:rsid w:val="00B871E8"/>
    <w:rsid w:val="00B87291"/>
    <w:rsid w:val="00B87470"/>
    <w:rsid w:val="00B878F3"/>
    <w:rsid w:val="00B879F8"/>
    <w:rsid w:val="00B87B9A"/>
    <w:rsid w:val="00B87D53"/>
    <w:rsid w:val="00B903CF"/>
    <w:rsid w:val="00B90D24"/>
    <w:rsid w:val="00B90EFF"/>
    <w:rsid w:val="00B90F05"/>
    <w:rsid w:val="00B9110B"/>
    <w:rsid w:val="00B9150A"/>
    <w:rsid w:val="00B91573"/>
    <w:rsid w:val="00B9160C"/>
    <w:rsid w:val="00B917A7"/>
    <w:rsid w:val="00B91880"/>
    <w:rsid w:val="00B91A1D"/>
    <w:rsid w:val="00B91D0F"/>
    <w:rsid w:val="00B92289"/>
    <w:rsid w:val="00B924DC"/>
    <w:rsid w:val="00B925AF"/>
    <w:rsid w:val="00B92600"/>
    <w:rsid w:val="00B92BE1"/>
    <w:rsid w:val="00B92C64"/>
    <w:rsid w:val="00B92F39"/>
    <w:rsid w:val="00B92F43"/>
    <w:rsid w:val="00B93165"/>
    <w:rsid w:val="00B932C8"/>
    <w:rsid w:val="00B93631"/>
    <w:rsid w:val="00B93B7C"/>
    <w:rsid w:val="00B93D56"/>
    <w:rsid w:val="00B93DA7"/>
    <w:rsid w:val="00B93DD6"/>
    <w:rsid w:val="00B93E21"/>
    <w:rsid w:val="00B94023"/>
    <w:rsid w:val="00B942DD"/>
    <w:rsid w:val="00B94387"/>
    <w:rsid w:val="00B9453B"/>
    <w:rsid w:val="00B94670"/>
    <w:rsid w:val="00B946F2"/>
    <w:rsid w:val="00B94B65"/>
    <w:rsid w:val="00B94C86"/>
    <w:rsid w:val="00B94CDC"/>
    <w:rsid w:val="00B94CEE"/>
    <w:rsid w:val="00B9517B"/>
    <w:rsid w:val="00B954BE"/>
    <w:rsid w:val="00B95BA8"/>
    <w:rsid w:val="00B95E4D"/>
    <w:rsid w:val="00B96517"/>
    <w:rsid w:val="00B96E4B"/>
    <w:rsid w:val="00B9702B"/>
    <w:rsid w:val="00B97188"/>
    <w:rsid w:val="00B972E8"/>
    <w:rsid w:val="00B97311"/>
    <w:rsid w:val="00B9770B"/>
    <w:rsid w:val="00B979E1"/>
    <w:rsid w:val="00B97A1F"/>
    <w:rsid w:val="00BA0251"/>
    <w:rsid w:val="00BA0ADA"/>
    <w:rsid w:val="00BA0C2D"/>
    <w:rsid w:val="00BA0E59"/>
    <w:rsid w:val="00BA0E6F"/>
    <w:rsid w:val="00BA0E76"/>
    <w:rsid w:val="00BA1011"/>
    <w:rsid w:val="00BA106F"/>
    <w:rsid w:val="00BA1382"/>
    <w:rsid w:val="00BA1434"/>
    <w:rsid w:val="00BA14CB"/>
    <w:rsid w:val="00BA1588"/>
    <w:rsid w:val="00BA1692"/>
    <w:rsid w:val="00BA1BF3"/>
    <w:rsid w:val="00BA2035"/>
    <w:rsid w:val="00BA20D9"/>
    <w:rsid w:val="00BA20ED"/>
    <w:rsid w:val="00BA2E40"/>
    <w:rsid w:val="00BA2FCC"/>
    <w:rsid w:val="00BA326F"/>
    <w:rsid w:val="00BA33A9"/>
    <w:rsid w:val="00BA3422"/>
    <w:rsid w:val="00BA3454"/>
    <w:rsid w:val="00BA3702"/>
    <w:rsid w:val="00BA3B67"/>
    <w:rsid w:val="00BA423B"/>
    <w:rsid w:val="00BA454E"/>
    <w:rsid w:val="00BA4578"/>
    <w:rsid w:val="00BA485E"/>
    <w:rsid w:val="00BA49D4"/>
    <w:rsid w:val="00BA4B52"/>
    <w:rsid w:val="00BA4C68"/>
    <w:rsid w:val="00BA4FA3"/>
    <w:rsid w:val="00BA5064"/>
    <w:rsid w:val="00BA508E"/>
    <w:rsid w:val="00BA52E2"/>
    <w:rsid w:val="00BA5457"/>
    <w:rsid w:val="00BA54C6"/>
    <w:rsid w:val="00BA5572"/>
    <w:rsid w:val="00BA56EB"/>
    <w:rsid w:val="00BA592A"/>
    <w:rsid w:val="00BA626A"/>
    <w:rsid w:val="00BA6645"/>
    <w:rsid w:val="00BA6A16"/>
    <w:rsid w:val="00BA6BC0"/>
    <w:rsid w:val="00BA6C99"/>
    <w:rsid w:val="00BA704B"/>
    <w:rsid w:val="00BA747C"/>
    <w:rsid w:val="00BA78ED"/>
    <w:rsid w:val="00BA7AC8"/>
    <w:rsid w:val="00BA7BAB"/>
    <w:rsid w:val="00BA7BEC"/>
    <w:rsid w:val="00BB0341"/>
    <w:rsid w:val="00BB0396"/>
    <w:rsid w:val="00BB03BE"/>
    <w:rsid w:val="00BB08A4"/>
    <w:rsid w:val="00BB0A36"/>
    <w:rsid w:val="00BB182F"/>
    <w:rsid w:val="00BB1836"/>
    <w:rsid w:val="00BB1D0E"/>
    <w:rsid w:val="00BB1F6C"/>
    <w:rsid w:val="00BB1F97"/>
    <w:rsid w:val="00BB212C"/>
    <w:rsid w:val="00BB24FC"/>
    <w:rsid w:val="00BB2628"/>
    <w:rsid w:val="00BB2ECF"/>
    <w:rsid w:val="00BB2FF4"/>
    <w:rsid w:val="00BB3036"/>
    <w:rsid w:val="00BB31FC"/>
    <w:rsid w:val="00BB32C5"/>
    <w:rsid w:val="00BB337E"/>
    <w:rsid w:val="00BB34BE"/>
    <w:rsid w:val="00BB35EB"/>
    <w:rsid w:val="00BB3659"/>
    <w:rsid w:val="00BB39A3"/>
    <w:rsid w:val="00BB3E24"/>
    <w:rsid w:val="00BB4327"/>
    <w:rsid w:val="00BB4401"/>
    <w:rsid w:val="00BB47BD"/>
    <w:rsid w:val="00BB4E88"/>
    <w:rsid w:val="00BB5016"/>
    <w:rsid w:val="00BB50C9"/>
    <w:rsid w:val="00BB5203"/>
    <w:rsid w:val="00BB5267"/>
    <w:rsid w:val="00BB5496"/>
    <w:rsid w:val="00BB5A75"/>
    <w:rsid w:val="00BB5AAB"/>
    <w:rsid w:val="00BB624F"/>
    <w:rsid w:val="00BB64FF"/>
    <w:rsid w:val="00BB66F7"/>
    <w:rsid w:val="00BB6C80"/>
    <w:rsid w:val="00BB6D34"/>
    <w:rsid w:val="00BB6E87"/>
    <w:rsid w:val="00BB728C"/>
    <w:rsid w:val="00BB7758"/>
    <w:rsid w:val="00BB78B3"/>
    <w:rsid w:val="00BB7B78"/>
    <w:rsid w:val="00BB7F37"/>
    <w:rsid w:val="00BB7F50"/>
    <w:rsid w:val="00BC0056"/>
    <w:rsid w:val="00BC018F"/>
    <w:rsid w:val="00BC0285"/>
    <w:rsid w:val="00BC059B"/>
    <w:rsid w:val="00BC0768"/>
    <w:rsid w:val="00BC081E"/>
    <w:rsid w:val="00BC0D76"/>
    <w:rsid w:val="00BC122A"/>
    <w:rsid w:val="00BC187E"/>
    <w:rsid w:val="00BC18AF"/>
    <w:rsid w:val="00BC1A68"/>
    <w:rsid w:val="00BC1CC1"/>
    <w:rsid w:val="00BC213D"/>
    <w:rsid w:val="00BC2210"/>
    <w:rsid w:val="00BC222E"/>
    <w:rsid w:val="00BC2244"/>
    <w:rsid w:val="00BC2253"/>
    <w:rsid w:val="00BC23DE"/>
    <w:rsid w:val="00BC27F5"/>
    <w:rsid w:val="00BC3253"/>
    <w:rsid w:val="00BC33D7"/>
    <w:rsid w:val="00BC3840"/>
    <w:rsid w:val="00BC3B03"/>
    <w:rsid w:val="00BC3EEA"/>
    <w:rsid w:val="00BC4469"/>
    <w:rsid w:val="00BC4C9C"/>
    <w:rsid w:val="00BC4DBA"/>
    <w:rsid w:val="00BC58FE"/>
    <w:rsid w:val="00BC5D5E"/>
    <w:rsid w:val="00BC5E55"/>
    <w:rsid w:val="00BC70E3"/>
    <w:rsid w:val="00BC7493"/>
    <w:rsid w:val="00BC75CC"/>
    <w:rsid w:val="00BC7737"/>
    <w:rsid w:val="00BC7B0B"/>
    <w:rsid w:val="00BC7E76"/>
    <w:rsid w:val="00BC7EB0"/>
    <w:rsid w:val="00BC7F7E"/>
    <w:rsid w:val="00BC7F9B"/>
    <w:rsid w:val="00BD00C4"/>
    <w:rsid w:val="00BD059D"/>
    <w:rsid w:val="00BD08C3"/>
    <w:rsid w:val="00BD0BA8"/>
    <w:rsid w:val="00BD0EE0"/>
    <w:rsid w:val="00BD1167"/>
    <w:rsid w:val="00BD1425"/>
    <w:rsid w:val="00BD14F0"/>
    <w:rsid w:val="00BD1563"/>
    <w:rsid w:val="00BD17FB"/>
    <w:rsid w:val="00BD19FD"/>
    <w:rsid w:val="00BD22E7"/>
    <w:rsid w:val="00BD2519"/>
    <w:rsid w:val="00BD25B1"/>
    <w:rsid w:val="00BD2BDF"/>
    <w:rsid w:val="00BD2F45"/>
    <w:rsid w:val="00BD3A8C"/>
    <w:rsid w:val="00BD3B0F"/>
    <w:rsid w:val="00BD3DB4"/>
    <w:rsid w:val="00BD3E16"/>
    <w:rsid w:val="00BD40AF"/>
    <w:rsid w:val="00BD4ABB"/>
    <w:rsid w:val="00BD4BB4"/>
    <w:rsid w:val="00BD4D39"/>
    <w:rsid w:val="00BD4DEE"/>
    <w:rsid w:val="00BD4FC1"/>
    <w:rsid w:val="00BD5312"/>
    <w:rsid w:val="00BD5490"/>
    <w:rsid w:val="00BD56F3"/>
    <w:rsid w:val="00BD57B1"/>
    <w:rsid w:val="00BD5A7D"/>
    <w:rsid w:val="00BD5C77"/>
    <w:rsid w:val="00BD5FDD"/>
    <w:rsid w:val="00BD644E"/>
    <w:rsid w:val="00BD676E"/>
    <w:rsid w:val="00BD6BDA"/>
    <w:rsid w:val="00BD6C16"/>
    <w:rsid w:val="00BD727C"/>
    <w:rsid w:val="00BD7343"/>
    <w:rsid w:val="00BD7541"/>
    <w:rsid w:val="00BD7A5C"/>
    <w:rsid w:val="00BD7A98"/>
    <w:rsid w:val="00BE00E3"/>
    <w:rsid w:val="00BE0931"/>
    <w:rsid w:val="00BE0A1F"/>
    <w:rsid w:val="00BE0BCE"/>
    <w:rsid w:val="00BE0BE1"/>
    <w:rsid w:val="00BE0D5B"/>
    <w:rsid w:val="00BE0F3C"/>
    <w:rsid w:val="00BE1349"/>
    <w:rsid w:val="00BE13BF"/>
    <w:rsid w:val="00BE1552"/>
    <w:rsid w:val="00BE1B23"/>
    <w:rsid w:val="00BE1F27"/>
    <w:rsid w:val="00BE2286"/>
    <w:rsid w:val="00BE2411"/>
    <w:rsid w:val="00BE25FF"/>
    <w:rsid w:val="00BE27B0"/>
    <w:rsid w:val="00BE28F3"/>
    <w:rsid w:val="00BE2924"/>
    <w:rsid w:val="00BE2AE7"/>
    <w:rsid w:val="00BE2F76"/>
    <w:rsid w:val="00BE30F5"/>
    <w:rsid w:val="00BE383E"/>
    <w:rsid w:val="00BE38C6"/>
    <w:rsid w:val="00BE3EB2"/>
    <w:rsid w:val="00BE3EFF"/>
    <w:rsid w:val="00BE3F17"/>
    <w:rsid w:val="00BE4031"/>
    <w:rsid w:val="00BE41D4"/>
    <w:rsid w:val="00BE42DE"/>
    <w:rsid w:val="00BE42F2"/>
    <w:rsid w:val="00BE4401"/>
    <w:rsid w:val="00BE4840"/>
    <w:rsid w:val="00BE4C50"/>
    <w:rsid w:val="00BE4DA8"/>
    <w:rsid w:val="00BE4EB0"/>
    <w:rsid w:val="00BE50D6"/>
    <w:rsid w:val="00BE51A5"/>
    <w:rsid w:val="00BE51D7"/>
    <w:rsid w:val="00BE535A"/>
    <w:rsid w:val="00BE566F"/>
    <w:rsid w:val="00BE56B6"/>
    <w:rsid w:val="00BE5A2C"/>
    <w:rsid w:val="00BE5AA4"/>
    <w:rsid w:val="00BE5B04"/>
    <w:rsid w:val="00BE5B93"/>
    <w:rsid w:val="00BE5D2A"/>
    <w:rsid w:val="00BE6363"/>
    <w:rsid w:val="00BE68A2"/>
    <w:rsid w:val="00BE6A79"/>
    <w:rsid w:val="00BE6FAE"/>
    <w:rsid w:val="00BE72CC"/>
    <w:rsid w:val="00BE72DF"/>
    <w:rsid w:val="00BE72FB"/>
    <w:rsid w:val="00BE7AAA"/>
    <w:rsid w:val="00BE7AC8"/>
    <w:rsid w:val="00BF012E"/>
    <w:rsid w:val="00BF0727"/>
    <w:rsid w:val="00BF078B"/>
    <w:rsid w:val="00BF07C0"/>
    <w:rsid w:val="00BF099B"/>
    <w:rsid w:val="00BF0C72"/>
    <w:rsid w:val="00BF108F"/>
    <w:rsid w:val="00BF10EC"/>
    <w:rsid w:val="00BF136F"/>
    <w:rsid w:val="00BF1582"/>
    <w:rsid w:val="00BF1710"/>
    <w:rsid w:val="00BF182D"/>
    <w:rsid w:val="00BF1ABF"/>
    <w:rsid w:val="00BF1C12"/>
    <w:rsid w:val="00BF1CF6"/>
    <w:rsid w:val="00BF1D49"/>
    <w:rsid w:val="00BF1E23"/>
    <w:rsid w:val="00BF1E6D"/>
    <w:rsid w:val="00BF1F05"/>
    <w:rsid w:val="00BF2033"/>
    <w:rsid w:val="00BF2466"/>
    <w:rsid w:val="00BF268A"/>
    <w:rsid w:val="00BF27E2"/>
    <w:rsid w:val="00BF28D4"/>
    <w:rsid w:val="00BF2A8F"/>
    <w:rsid w:val="00BF2AB2"/>
    <w:rsid w:val="00BF30B6"/>
    <w:rsid w:val="00BF36F0"/>
    <w:rsid w:val="00BF3894"/>
    <w:rsid w:val="00BF398A"/>
    <w:rsid w:val="00BF3D0D"/>
    <w:rsid w:val="00BF3F27"/>
    <w:rsid w:val="00BF43C7"/>
    <w:rsid w:val="00BF45A7"/>
    <w:rsid w:val="00BF493B"/>
    <w:rsid w:val="00BF4A64"/>
    <w:rsid w:val="00BF4BDB"/>
    <w:rsid w:val="00BF4D21"/>
    <w:rsid w:val="00BF4D82"/>
    <w:rsid w:val="00BF5945"/>
    <w:rsid w:val="00BF5BA9"/>
    <w:rsid w:val="00BF6028"/>
    <w:rsid w:val="00BF604B"/>
    <w:rsid w:val="00BF60FE"/>
    <w:rsid w:val="00BF61B7"/>
    <w:rsid w:val="00BF6273"/>
    <w:rsid w:val="00BF6992"/>
    <w:rsid w:val="00BF734A"/>
    <w:rsid w:val="00BF7510"/>
    <w:rsid w:val="00BF781C"/>
    <w:rsid w:val="00BF78CC"/>
    <w:rsid w:val="00BF7C95"/>
    <w:rsid w:val="00BF7E94"/>
    <w:rsid w:val="00C00059"/>
    <w:rsid w:val="00C000DB"/>
    <w:rsid w:val="00C0023F"/>
    <w:rsid w:val="00C00377"/>
    <w:rsid w:val="00C00406"/>
    <w:rsid w:val="00C00C19"/>
    <w:rsid w:val="00C01155"/>
    <w:rsid w:val="00C0191F"/>
    <w:rsid w:val="00C0199B"/>
    <w:rsid w:val="00C01E22"/>
    <w:rsid w:val="00C02768"/>
    <w:rsid w:val="00C02AD5"/>
    <w:rsid w:val="00C02D19"/>
    <w:rsid w:val="00C02D6B"/>
    <w:rsid w:val="00C02E9E"/>
    <w:rsid w:val="00C0302A"/>
    <w:rsid w:val="00C0326A"/>
    <w:rsid w:val="00C033CF"/>
    <w:rsid w:val="00C034FA"/>
    <w:rsid w:val="00C036E9"/>
    <w:rsid w:val="00C03A10"/>
    <w:rsid w:val="00C03AD1"/>
    <w:rsid w:val="00C03AE4"/>
    <w:rsid w:val="00C04275"/>
    <w:rsid w:val="00C0440A"/>
    <w:rsid w:val="00C0451C"/>
    <w:rsid w:val="00C04AE7"/>
    <w:rsid w:val="00C053FA"/>
    <w:rsid w:val="00C055DB"/>
    <w:rsid w:val="00C05A43"/>
    <w:rsid w:val="00C06A11"/>
    <w:rsid w:val="00C06BC9"/>
    <w:rsid w:val="00C06BF1"/>
    <w:rsid w:val="00C06CDF"/>
    <w:rsid w:val="00C07246"/>
    <w:rsid w:val="00C073AE"/>
    <w:rsid w:val="00C073DF"/>
    <w:rsid w:val="00C077A9"/>
    <w:rsid w:val="00C07991"/>
    <w:rsid w:val="00C079D3"/>
    <w:rsid w:val="00C07A8D"/>
    <w:rsid w:val="00C1021B"/>
    <w:rsid w:val="00C1030D"/>
    <w:rsid w:val="00C10434"/>
    <w:rsid w:val="00C10856"/>
    <w:rsid w:val="00C108D4"/>
    <w:rsid w:val="00C10945"/>
    <w:rsid w:val="00C1103E"/>
    <w:rsid w:val="00C111F1"/>
    <w:rsid w:val="00C11682"/>
    <w:rsid w:val="00C11791"/>
    <w:rsid w:val="00C11AFC"/>
    <w:rsid w:val="00C11D22"/>
    <w:rsid w:val="00C11E5E"/>
    <w:rsid w:val="00C11F27"/>
    <w:rsid w:val="00C12218"/>
    <w:rsid w:val="00C12477"/>
    <w:rsid w:val="00C124FA"/>
    <w:rsid w:val="00C128D8"/>
    <w:rsid w:val="00C12A62"/>
    <w:rsid w:val="00C12CB4"/>
    <w:rsid w:val="00C12D58"/>
    <w:rsid w:val="00C131C0"/>
    <w:rsid w:val="00C1329D"/>
    <w:rsid w:val="00C138CF"/>
    <w:rsid w:val="00C13AEB"/>
    <w:rsid w:val="00C13AEE"/>
    <w:rsid w:val="00C13BBA"/>
    <w:rsid w:val="00C13BEA"/>
    <w:rsid w:val="00C13E2D"/>
    <w:rsid w:val="00C1401A"/>
    <w:rsid w:val="00C148E9"/>
    <w:rsid w:val="00C14A04"/>
    <w:rsid w:val="00C14E35"/>
    <w:rsid w:val="00C150BD"/>
    <w:rsid w:val="00C157D4"/>
    <w:rsid w:val="00C164EA"/>
    <w:rsid w:val="00C165DF"/>
    <w:rsid w:val="00C171F5"/>
    <w:rsid w:val="00C17399"/>
    <w:rsid w:val="00C1781E"/>
    <w:rsid w:val="00C178BE"/>
    <w:rsid w:val="00C17C17"/>
    <w:rsid w:val="00C20050"/>
    <w:rsid w:val="00C20130"/>
    <w:rsid w:val="00C2043F"/>
    <w:rsid w:val="00C20720"/>
    <w:rsid w:val="00C20896"/>
    <w:rsid w:val="00C208D8"/>
    <w:rsid w:val="00C20AA8"/>
    <w:rsid w:val="00C20CC0"/>
    <w:rsid w:val="00C20E05"/>
    <w:rsid w:val="00C21971"/>
    <w:rsid w:val="00C21AE6"/>
    <w:rsid w:val="00C21AF3"/>
    <w:rsid w:val="00C21C3D"/>
    <w:rsid w:val="00C21C85"/>
    <w:rsid w:val="00C21CDC"/>
    <w:rsid w:val="00C21D14"/>
    <w:rsid w:val="00C21DCA"/>
    <w:rsid w:val="00C22508"/>
    <w:rsid w:val="00C22A51"/>
    <w:rsid w:val="00C22A6A"/>
    <w:rsid w:val="00C22BA3"/>
    <w:rsid w:val="00C22C26"/>
    <w:rsid w:val="00C2305C"/>
    <w:rsid w:val="00C2308F"/>
    <w:rsid w:val="00C2346D"/>
    <w:rsid w:val="00C23799"/>
    <w:rsid w:val="00C23949"/>
    <w:rsid w:val="00C23B67"/>
    <w:rsid w:val="00C23B88"/>
    <w:rsid w:val="00C24583"/>
    <w:rsid w:val="00C24593"/>
    <w:rsid w:val="00C245FD"/>
    <w:rsid w:val="00C2469C"/>
    <w:rsid w:val="00C24AB1"/>
    <w:rsid w:val="00C24B9E"/>
    <w:rsid w:val="00C24EAC"/>
    <w:rsid w:val="00C25192"/>
    <w:rsid w:val="00C251B9"/>
    <w:rsid w:val="00C25368"/>
    <w:rsid w:val="00C25531"/>
    <w:rsid w:val="00C256E5"/>
    <w:rsid w:val="00C25D18"/>
    <w:rsid w:val="00C25F96"/>
    <w:rsid w:val="00C263F3"/>
    <w:rsid w:val="00C2648F"/>
    <w:rsid w:val="00C2654D"/>
    <w:rsid w:val="00C2662E"/>
    <w:rsid w:val="00C26696"/>
    <w:rsid w:val="00C269B3"/>
    <w:rsid w:val="00C26B9F"/>
    <w:rsid w:val="00C26FBA"/>
    <w:rsid w:val="00C27180"/>
    <w:rsid w:val="00C272DA"/>
    <w:rsid w:val="00C273F9"/>
    <w:rsid w:val="00C2792E"/>
    <w:rsid w:val="00C27AF7"/>
    <w:rsid w:val="00C27D13"/>
    <w:rsid w:val="00C27DC3"/>
    <w:rsid w:val="00C30137"/>
    <w:rsid w:val="00C30836"/>
    <w:rsid w:val="00C30B0D"/>
    <w:rsid w:val="00C30DD7"/>
    <w:rsid w:val="00C31369"/>
    <w:rsid w:val="00C3150C"/>
    <w:rsid w:val="00C3154D"/>
    <w:rsid w:val="00C31A5B"/>
    <w:rsid w:val="00C31A87"/>
    <w:rsid w:val="00C32074"/>
    <w:rsid w:val="00C32258"/>
    <w:rsid w:val="00C3235D"/>
    <w:rsid w:val="00C32575"/>
    <w:rsid w:val="00C32763"/>
    <w:rsid w:val="00C32D4A"/>
    <w:rsid w:val="00C32F10"/>
    <w:rsid w:val="00C32FDA"/>
    <w:rsid w:val="00C33008"/>
    <w:rsid w:val="00C33109"/>
    <w:rsid w:val="00C33185"/>
    <w:rsid w:val="00C33446"/>
    <w:rsid w:val="00C3349B"/>
    <w:rsid w:val="00C336DF"/>
    <w:rsid w:val="00C339B6"/>
    <w:rsid w:val="00C34046"/>
    <w:rsid w:val="00C345BE"/>
    <w:rsid w:val="00C3462A"/>
    <w:rsid w:val="00C34AA4"/>
    <w:rsid w:val="00C34BC2"/>
    <w:rsid w:val="00C34E5E"/>
    <w:rsid w:val="00C34ED5"/>
    <w:rsid w:val="00C34EEE"/>
    <w:rsid w:val="00C35390"/>
    <w:rsid w:val="00C35691"/>
    <w:rsid w:val="00C35A90"/>
    <w:rsid w:val="00C35B87"/>
    <w:rsid w:val="00C35C76"/>
    <w:rsid w:val="00C35CF8"/>
    <w:rsid w:val="00C35DD0"/>
    <w:rsid w:val="00C35E71"/>
    <w:rsid w:val="00C361DC"/>
    <w:rsid w:val="00C361EF"/>
    <w:rsid w:val="00C3627A"/>
    <w:rsid w:val="00C36321"/>
    <w:rsid w:val="00C36420"/>
    <w:rsid w:val="00C3649F"/>
    <w:rsid w:val="00C365D5"/>
    <w:rsid w:val="00C36E0E"/>
    <w:rsid w:val="00C36F06"/>
    <w:rsid w:val="00C37082"/>
    <w:rsid w:val="00C37453"/>
    <w:rsid w:val="00C37625"/>
    <w:rsid w:val="00C37DCB"/>
    <w:rsid w:val="00C37F2E"/>
    <w:rsid w:val="00C4004D"/>
    <w:rsid w:val="00C40576"/>
    <w:rsid w:val="00C40E25"/>
    <w:rsid w:val="00C40EF7"/>
    <w:rsid w:val="00C4102C"/>
    <w:rsid w:val="00C410FD"/>
    <w:rsid w:val="00C41441"/>
    <w:rsid w:val="00C414CF"/>
    <w:rsid w:val="00C4162E"/>
    <w:rsid w:val="00C4191D"/>
    <w:rsid w:val="00C41CE2"/>
    <w:rsid w:val="00C4281B"/>
    <w:rsid w:val="00C42C3D"/>
    <w:rsid w:val="00C42CE6"/>
    <w:rsid w:val="00C43363"/>
    <w:rsid w:val="00C4381F"/>
    <w:rsid w:val="00C43BE5"/>
    <w:rsid w:val="00C43CFE"/>
    <w:rsid w:val="00C43D10"/>
    <w:rsid w:val="00C43DEC"/>
    <w:rsid w:val="00C4403A"/>
    <w:rsid w:val="00C4456F"/>
    <w:rsid w:val="00C4460A"/>
    <w:rsid w:val="00C44F17"/>
    <w:rsid w:val="00C44F26"/>
    <w:rsid w:val="00C451C3"/>
    <w:rsid w:val="00C455A8"/>
    <w:rsid w:val="00C457E5"/>
    <w:rsid w:val="00C459EE"/>
    <w:rsid w:val="00C4600D"/>
    <w:rsid w:val="00C46222"/>
    <w:rsid w:val="00C46355"/>
    <w:rsid w:val="00C46411"/>
    <w:rsid w:val="00C464E0"/>
    <w:rsid w:val="00C46542"/>
    <w:rsid w:val="00C465D3"/>
    <w:rsid w:val="00C46600"/>
    <w:rsid w:val="00C46ADD"/>
    <w:rsid w:val="00C46FB0"/>
    <w:rsid w:val="00C475F8"/>
    <w:rsid w:val="00C47674"/>
    <w:rsid w:val="00C47706"/>
    <w:rsid w:val="00C47970"/>
    <w:rsid w:val="00C47A54"/>
    <w:rsid w:val="00C47BC4"/>
    <w:rsid w:val="00C47C77"/>
    <w:rsid w:val="00C47C9B"/>
    <w:rsid w:val="00C47D58"/>
    <w:rsid w:val="00C47E77"/>
    <w:rsid w:val="00C50584"/>
    <w:rsid w:val="00C5064D"/>
    <w:rsid w:val="00C509F2"/>
    <w:rsid w:val="00C50C79"/>
    <w:rsid w:val="00C50EE5"/>
    <w:rsid w:val="00C50EE7"/>
    <w:rsid w:val="00C51232"/>
    <w:rsid w:val="00C51282"/>
    <w:rsid w:val="00C515B4"/>
    <w:rsid w:val="00C516A5"/>
    <w:rsid w:val="00C51A42"/>
    <w:rsid w:val="00C52136"/>
    <w:rsid w:val="00C52407"/>
    <w:rsid w:val="00C524A6"/>
    <w:rsid w:val="00C5273B"/>
    <w:rsid w:val="00C5277A"/>
    <w:rsid w:val="00C527A9"/>
    <w:rsid w:val="00C527BF"/>
    <w:rsid w:val="00C52BBD"/>
    <w:rsid w:val="00C52D00"/>
    <w:rsid w:val="00C52FD3"/>
    <w:rsid w:val="00C5304C"/>
    <w:rsid w:val="00C53217"/>
    <w:rsid w:val="00C5331C"/>
    <w:rsid w:val="00C53484"/>
    <w:rsid w:val="00C53767"/>
    <w:rsid w:val="00C538C7"/>
    <w:rsid w:val="00C53AAD"/>
    <w:rsid w:val="00C53BD7"/>
    <w:rsid w:val="00C53D80"/>
    <w:rsid w:val="00C53DCE"/>
    <w:rsid w:val="00C5435E"/>
    <w:rsid w:val="00C5511C"/>
    <w:rsid w:val="00C5520F"/>
    <w:rsid w:val="00C55338"/>
    <w:rsid w:val="00C554B7"/>
    <w:rsid w:val="00C5577E"/>
    <w:rsid w:val="00C558D1"/>
    <w:rsid w:val="00C55B8C"/>
    <w:rsid w:val="00C55C97"/>
    <w:rsid w:val="00C56072"/>
    <w:rsid w:val="00C566DC"/>
    <w:rsid w:val="00C568C3"/>
    <w:rsid w:val="00C56D07"/>
    <w:rsid w:val="00C56D1F"/>
    <w:rsid w:val="00C57422"/>
    <w:rsid w:val="00C576BB"/>
    <w:rsid w:val="00C577E8"/>
    <w:rsid w:val="00C57912"/>
    <w:rsid w:val="00C57B8C"/>
    <w:rsid w:val="00C57CFA"/>
    <w:rsid w:val="00C57E80"/>
    <w:rsid w:val="00C57F5C"/>
    <w:rsid w:val="00C604AA"/>
    <w:rsid w:val="00C607B3"/>
    <w:rsid w:val="00C608DD"/>
    <w:rsid w:val="00C60913"/>
    <w:rsid w:val="00C60A9A"/>
    <w:rsid w:val="00C60D7A"/>
    <w:rsid w:val="00C60DAE"/>
    <w:rsid w:val="00C60F98"/>
    <w:rsid w:val="00C61137"/>
    <w:rsid w:val="00C61814"/>
    <w:rsid w:val="00C6183C"/>
    <w:rsid w:val="00C618B7"/>
    <w:rsid w:val="00C619F5"/>
    <w:rsid w:val="00C61A13"/>
    <w:rsid w:val="00C62649"/>
    <w:rsid w:val="00C629F7"/>
    <w:rsid w:val="00C62A7C"/>
    <w:rsid w:val="00C62D01"/>
    <w:rsid w:val="00C62E12"/>
    <w:rsid w:val="00C62EA5"/>
    <w:rsid w:val="00C631F0"/>
    <w:rsid w:val="00C63500"/>
    <w:rsid w:val="00C63510"/>
    <w:rsid w:val="00C63CA2"/>
    <w:rsid w:val="00C63EF3"/>
    <w:rsid w:val="00C641DE"/>
    <w:rsid w:val="00C641F6"/>
    <w:rsid w:val="00C6421B"/>
    <w:rsid w:val="00C64A01"/>
    <w:rsid w:val="00C64D03"/>
    <w:rsid w:val="00C6502A"/>
    <w:rsid w:val="00C65110"/>
    <w:rsid w:val="00C6537D"/>
    <w:rsid w:val="00C654ED"/>
    <w:rsid w:val="00C65841"/>
    <w:rsid w:val="00C658E3"/>
    <w:rsid w:val="00C65B48"/>
    <w:rsid w:val="00C65E4C"/>
    <w:rsid w:val="00C65EE5"/>
    <w:rsid w:val="00C66332"/>
    <w:rsid w:val="00C6664F"/>
    <w:rsid w:val="00C66678"/>
    <w:rsid w:val="00C66C6B"/>
    <w:rsid w:val="00C66D37"/>
    <w:rsid w:val="00C66DDE"/>
    <w:rsid w:val="00C67083"/>
    <w:rsid w:val="00C672C2"/>
    <w:rsid w:val="00C672C9"/>
    <w:rsid w:val="00C67403"/>
    <w:rsid w:val="00C6794F"/>
    <w:rsid w:val="00C679C1"/>
    <w:rsid w:val="00C67E6C"/>
    <w:rsid w:val="00C7026E"/>
    <w:rsid w:val="00C70863"/>
    <w:rsid w:val="00C7088C"/>
    <w:rsid w:val="00C70D5E"/>
    <w:rsid w:val="00C71050"/>
    <w:rsid w:val="00C71197"/>
    <w:rsid w:val="00C71314"/>
    <w:rsid w:val="00C71546"/>
    <w:rsid w:val="00C717F0"/>
    <w:rsid w:val="00C71DE3"/>
    <w:rsid w:val="00C71F9D"/>
    <w:rsid w:val="00C72050"/>
    <w:rsid w:val="00C724AB"/>
    <w:rsid w:val="00C726B1"/>
    <w:rsid w:val="00C727AF"/>
    <w:rsid w:val="00C72B91"/>
    <w:rsid w:val="00C72E48"/>
    <w:rsid w:val="00C732C1"/>
    <w:rsid w:val="00C736AF"/>
    <w:rsid w:val="00C739A7"/>
    <w:rsid w:val="00C73ADD"/>
    <w:rsid w:val="00C73F13"/>
    <w:rsid w:val="00C7416A"/>
    <w:rsid w:val="00C741B6"/>
    <w:rsid w:val="00C74653"/>
    <w:rsid w:val="00C74677"/>
    <w:rsid w:val="00C7478C"/>
    <w:rsid w:val="00C747EC"/>
    <w:rsid w:val="00C74867"/>
    <w:rsid w:val="00C749D3"/>
    <w:rsid w:val="00C74B5F"/>
    <w:rsid w:val="00C74DFC"/>
    <w:rsid w:val="00C7522F"/>
    <w:rsid w:val="00C752E7"/>
    <w:rsid w:val="00C753A2"/>
    <w:rsid w:val="00C754CC"/>
    <w:rsid w:val="00C75896"/>
    <w:rsid w:val="00C75B44"/>
    <w:rsid w:val="00C75C7C"/>
    <w:rsid w:val="00C75C8E"/>
    <w:rsid w:val="00C75D92"/>
    <w:rsid w:val="00C75E81"/>
    <w:rsid w:val="00C75F4F"/>
    <w:rsid w:val="00C76077"/>
    <w:rsid w:val="00C76100"/>
    <w:rsid w:val="00C76323"/>
    <w:rsid w:val="00C76541"/>
    <w:rsid w:val="00C76613"/>
    <w:rsid w:val="00C768D2"/>
    <w:rsid w:val="00C76CAF"/>
    <w:rsid w:val="00C76E28"/>
    <w:rsid w:val="00C771CB"/>
    <w:rsid w:val="00C77385"/>
    <w:rsid w:val="00C774AC"/>
    <w:rsid w:val="00C77568"/>
    <w:rsid w:val="00C7763B"/>
    <w:rsid w:val="00C7766C"/>
    <w:rsid w:val="00C777BE"/>
    <w:rsid w:val="00C77A74"/>
    <w:rsid w:val="00C77E68"/>
    <w:rsid w:val="00C8098B"/>
    <w:rsid w:val="00C80A5D"/>
    <w:rsid w:val="00C80B83"/>
    <w:rsid w:val="00C80F36"/>
    <w:rsid w:val="00C80FF9"/>
    <w:rsid w:val="00C8132E"/>
    <w:rsid w:val="00C81333"/>
    <w:rsid w:val="00C8162A"/>
    <w:rsid w:val="00C819A7"/>
    <w:rsid w:val="00C81E81"/>
    <w:rsid w:val="00C81EAE"/>
    <w:rsid w:val="00C81F0B"/>
    <w:rsid w:val="00C82396"/>
    <w:rsid w:val="00C8245B"/>
    <w:rsid w:val="00C82468"/>
    <w:rsid w:val="00C825F6"/>
    <w:rsid w:val="00C8261B"/>
    <w:rsid w:val="00C8270B"/>
    <w:rsid w:val="00C829F6"/>
    <w:rsid w:val="00C82DA3"/>
    <w:rsid w:val="00C82F88"/>
    <w:rsid w:val="00C8320E"/>
    <w:rsid w:val="00C833CD"/>
    <w:rsid w:val="00C834C7"/>
    <w:rsid w:val="00C83BA2"/>
    <w:rsid w:val="00C83BBE"/>
    <w:rsid w:val="00C83DAC"/>
    <w:rsid w:val="00C83EDB"/>
    <w:rsid w:val="00C83F95"/>
    <w:rsid w:val="00C84150"/>
    <w:rsid w:val="00C8449E"/>
    <w:rsid w:val="00C845FE"/>
    <w:rsid w:val="00C847C3"/>
    <w:rsid w:val="00C84A7C"/>
    <w:rsid w:val="00C84D07"/>
    <w:rsid w:val="00C84D2B"/>
    <w:rsid w:val="00C84EAE"/>
    <w:rsid w:val="00C84ED2"/>
    <w:rsid w:val="00C84EFD"/>
    <w:rsid w:val="00C84F20"/>
    <w:rsid w:val="00C850AA"/>
    <w:rsid w:val="00C850DC"/>
    <w:rsid w:val="00C8533D"/>
    <w:rsid w:val="00C854D0"/>
    <w:rsid w:val="00C85C09"/>
    <w:rsid w:val="00C85E75"/>
    <w:rsid w:val="00C85F64"/>
    <w:rsid w:val="00C8604F"/>
    <w:rsid w:val="00C8672D"/>
    <w:rsid w:val="00C867B5"/>
    <w:rsid w:val="00C86F6B"/>
    <w:rsid w:val="00C8711D"/>
    <w:rsid w:val="00C87266"/>
    <w:rsid w:val="00C8730F"/>
    <w:rsid w:val="00C874F3"/>
    <w:rsid w:val="00C8767E"/>
    <w:rsid w:val="00C87685"/>
    <w:rsid w:val="00C878F0"/>
    <w:rsid w:val="00C87A4E"/>
    <w:rsid w:val="00C87D3C"/>
    <w:rsid w:val="00C9005D"/>
    <w:rsid w:val="00C90156"/>
    <w:rsid w:val="00C9063C"/>
    <w:rsid w:val="00C9070F"/>
    <w:rsid w:val="00C908AF"/>
    <w:rsid w:val="00C909B7"/>
    <w:rsid w:val="00C911BB"/>
    <w:rsid w:val="00C912FA"/>
    <w:rsid w:val="00C91422"/>
    <w:rsid w:val="00C91438"/>
    <w:rsid w:val="00C915CF"/>
    <w:rsid w:val="00C91A72"/>
    <w:rsid w:val="00C91B75"/>
    <w:rsid w:val="00C91DDC"/>
    <w:rsid w:val="00C91F7E"/>
    <w:rsid w:val="00C91FB5"/>
    <w:rsid w:val="00C9237E"/>
    <w:rsid w:val="00C9247D"/>
    <w:rsid w:val="00C9250B"/>
    <w:rsid w:val="00C9275E"/>
    <w:rsid w:val="00C92791"/>
    <w:rsid w:val="00C9280C"/>
    <w:rsid w:val="00C92831"/>
    <w:rsid w:val="00C92970"/>
    <w:rsid w:val="00C936E5"/>
    <w:rsid w:val="00C939B8"/>
    <w:rsid w:val="00C93A97"/>
    <w:rsid w:val="00C93E4F"/>
    <w:rsid w:val="00C93EF2"/>
    <w:rsid w:val="00C94458"/>
    <w:rsid w:val="00C947DC"/>
    <w:rsid w:val="00C94C35"/>
    <w:rsid w:val="00C9503F"/>
    <w:rsid w:val="00C9506F"/>
    <w:rsid w:val="00C9549F"/>
    <w:rsid w:val="00C954D7"/>
    <w:rsid w:val="00C956E4"/>
    <w:rsid w:val="00C959B7"/>
    <w:rsid w:val="00C95AC2"/>
    <w:rsid w:val="00C95BC8"/>
    <w:rsid w:val="00C95F36"/>
    <w:rsid w:val="00C96DA4"/>
    <w:rsid w:val="00C96F97"/>
    <w:rsid w:val="00C9713F"/>
    <w:rsid w:val="00C9734C"/>
    <w:rsid w:val="00C97455"/>
    <w:rsid w:val="00C9753B"/>
    <w:rsid w:val="00C97A62"/>
    <w:rsid w:val="00C97C40"/>
    <w:rsid w:val="00C97F59"/>
    <w:rsid w:val="00CA03EF"/>
    <w:rsid w:val="00CA0469"/>
    <w:rsid w:val="00CA05EC"/>
    <w:rsid w:val="00CA0621"/>
    <w:rsid w:val="00CA0817"/>
    <w:rsid w:val="00CA09FD"/>
    <w:rsid w:val="00CA0D36"/>
    <w:rsid w:val="00CA16B1"/>
    <w:rsid w:val="00CA1DFC"/>
    <w:rsid w:val="00CA1EC9"/>
    <w:rsid w:val="00CA1F20"/>
    <w:rsid w:val="00CA1FE3"/>
    <w:rsid w:val="00CA209B"/>
    <w:rsid w:val="00CA2285"/>
    <w:rsid w:val="00CA22BC"/>
    <w:rsid w:val="00CA2587"/>
    <w:rsid w:val="00CA2B22"/>
    <w:rsid w:val="00CA33F9"/>
    <w:rsid w:val="00CA34BD"/>
    <w:rsid w:val="00CA36A6"/>
    <w:rsid w:val="00CA3814"/>
    <w:rsid w:val="00CA3F8E"/>
    <w:rsid w:val="00CA3FD7"/>
    <w:rsid w:val="00CA4016"/>
    <w:rsid w:val="00CA437B"/>
    <w:rsid w:val="00CA4502"/>
    <w:rsid w:val="00CA450C"/>
    <w:rsid w:val="00CA4531"/>
    <w:rsid w:val="00CA462A"/>
    <w:rsid w:val="00CA47B1"/>
    <w:rsid w:val="00CA48E9"/>
    <w:rsid w:val="00CA4A84"/>
    <w:rsid w:val="00CA4BFA"/>
    <w:rsid w:val="00CA4FE0"/>
    <w:rsid w:val="00CA50D1"/>
    <w:rsid w:val="00CA525B"/>
    <w:rsid w:val="00CA5479"/>
    <w:rsid w:val="00CA5731"/>
    <w:rsid w:val="00CA596C"/>
    <w:rsid w:val="00CA59D2"/>
    <w:rsid w:val="00CA5A78"/>
    <w:rsid w:val="00CA5C81"/>
    <w:rsid w:val="00CA5CB1"/>
    <w:rsid w:val="00CA6457"/>
    <w:rsid w:val="00CA6550"/>
    <w:rsid w:val="00CA6734"/>
    <w:rsid w:val="00CA67CD"/>
    <w:rsid w:val="00CA6B90"/>
    <w:rsid w:val="00CA6C99"/>
    <w:rsid w:val="00CA6EDE"/>
    <w:rsid w:val="00CA6FA4"/>
    <w:rsid w:val="00CA70AD"/>
    <w:rsid w:val="00CA715B"/>
    <w:rsid w:val="00CA73FB"/>
    <w:rsid w:val="00CA7495"/>
    <w:rsid w:val="00CA763D"/>
    <w:rsid w:val="00CA76FC"/>
    <w:rsid w:val="00CA77C1"/>
    <w:rsid w:val="00CA7AC1"/>
    <w:rsid w:val="00CA7E7A"/>
    <w:rsid w:val="00CA7EBC"/>
    <w:rsid w:val="00CB0001"/>
    <w:rsid w:val="00CB03A7"/>
    <w:rsid w:val="00CB05BA"/>
    <w:rsid w:val="00CB05DA"/>
    <w:rsid w:val="00CB0723"/>
    <w:rsid w:val="00CB08E5"/>
    <w:rsid w:val="00CB0A29"/>
    <w:rsid w:val="00CB0CDA"/>
    <w:rsid w:val="00CB0CDD"/>
    <w:rsid w:val="00CB0D62"/>
    <w:rsid w:val="00CB1210"/>
    <w:rsid w:val="00CB13CF"/>
    <w:rsid w:val="00CB142A"/>
    <w:rsid w:val="00CB184C"/>
    <w:rsid w:val="00CB1E1F"/>
    <w:rsid w:val="00CB2368"/>
    <w:rsid w:val="00CB2541"/>
    <w:rsid w:val="00CB2626"/>
    <w:rsid w:val="00CB26C5"/>
    <w:rsid w:val="00CB2761"/>
    <w:rsid w:val="00CB3087"/>
    <w:rsid w:val="00CB3195"/>
    <w:rsid w:val="00CB31E1"/>
    <w:rsid w:val="00CB3644"/>
    <w:rsid w:val="00CB3EB9"/>
    <w:rsid w:val="00CB41C9"/>
    <w:rsid w:val="00CB4514"/>
    <w:rsid w:val="00CB48B1"/>
    <w:rsid w:val="00CB4D4C"/>
    <w:rsid w:val="00CB4FAE"/>
    <w:rsid w:val="00CB4FB2"/>
    <w:rsid w:val="00CB50BF"/>
    <w:rsid w:val="00CB537D"/>
    <w:rsid w:val="00CB54DE"/>
    <w:rsid w:val="00CB6733"/>
    <w:rsid w:val="00CB6827"/>
    <w:rsid w:val="00CB6923"/>
    <w:rsid w:val="00CB6B8E"/>
    <w:rsid w:val="00CB6C5D"/>
    <w:rsid w:val="00CB6CB5"/>
    <w:rsid w:val="00CB6F18"/>
    <w:rsid w:val="00CB7182"/>
    <w:rsid w:val="00CB74AB"/>
    <w:rsid w:val="00CB7634"/>
    <w:rsid w:val="00CB7966"/>
    <w:rsid w:val="00CB7AD1"/>
    <w:rsid w:val="00CB7D7B"/>
    <w:rsid w:val="00CB7FA7"/>
    <w:rsid w:val="00CB7FCF"/>
    <w:rsid w:val="00CC008A"/>
    <w:rsid w:val="00CC018E"/>
    <w:rsid w:val="00CC022A"/>
    <w:rsid w:val="00CC02E2"/>
    <w:rsid w:val="00CC0321"/>
    <w:rsid w:val="00CC053A"/>
    <w:rsid w:val="00CC05DC"/>
    <w:rsid w:val="00CC08D8"/>
    <w:rsid w:val="00CC0922"/>
    <w:rsid w:val="00CC0A07"/>
    <w:rsid w:val="00CC0E66"/>
    <w:rsid w:val="00CC1379"/>
    <w:rsid w:val="00CC159F"/>
    <w:rsid w:val="00CC1BC1"/>
    <w:rsid w:val="00CC1C87"/>
    <w:rsid w:val="00CC1D4B"/>
    <w:rsid w:val="00CC25FB"/>
    <w:rsid w:val="00CC2771"/>
    <w:rsid w:val="00CC28D9"/>
    <w:rsid w:val="00CC2D79"/>
    <w:rsid w:val="00CC2E27"/>
    <w:rsid w:val="00CC34A0"/>
    <w:rsid w:val="00CC3A63"/>
    <w:rsid w:val="00CC3C05"/>
    <w:rsid w:val="00CC3C36"/>
    <w:rsid w:val="00CC3DA9"/>
    <w:rsid w:val="00CC3E3C"/>
    <w:rsid w:val="00CC4241"/>
    <w:rsid w:val="00CC46CE"/>
    <w:rsid w:val="00CC48C8"/>
    <w:rsid w:val="00CC4B67"/>
    <w:rsid w:val="00CC4C1D"/>
    <w:rsid w:val="00CC50BA"/>
    <w:rsid w:val="00CC5264"/>
    <w:rsid w:val="00CC5658"/>
    <w:rsid w:val="00CC58DB"/>
    <w:rsid w:val="00CC5DEF"/>
    <w:rsid w:val="00CC6141"/>
    <w:rsid w:val="00CC6145"/>
    <w:rsid w:val="00CC63F4"/>
    <w:rsid w:val="00CC644F"/>
    <w:rsid w:val="00CC666B"/>
    <w:rsid w:val="00CC6C98"/>
    <w:rsid w:val="00CC6ED2"/>
    <w:rsid w:val="00CC7108"/>
    <w:rsid w:val="00CC7144"/>
    <w:rsid w:val="00CC72F1"/>
    <w:rsid w:val="00CC79C0"/>
    <w:rsid w:val="00CC7BA6"/>
    <w:rsid w:val="00CC7C55"/>
    <w:rsid w:val="00CC7F61"/>
    <w:rsid w:val="00CD0016"/>
    <w:rsid w:val="00CD0034"/>
    <w:rsid w:val="00CD060C"/>
    <w:rsid w:val="00CD076B"/>
    <w:rsid w:val="00CD07B3"/>
    <w:rsid w:val="00CD0B42"/>
    <w:rsid w:val="00CD11DF"/>
    <w:rsid w:val="00CD1EF7"/>
    <w:rsid w:val="00CD258F"/>
    <w:rsid w:val="00CD2720"/>
    <w:rsid w:val="00CD28B4"/>
    <w:rsid w:val="00CD295F"/>
    <w:rsid w:val="00CD2A6E"/>
    <w:rsid w:val="00CD2B34"/>
    <w:rsid w:val="00CD2F69"/>
    <w:rsid w:val="00CD2F9F"/>
    <w:rsid w:val="00CD2FC2"/>
    <w:rsid w:val="00CD30D3"/>
    <w:rsid w:val="00CD333F"/>
    <w:rsid w:val="00CD33D8"/>
    <w:rsid w:val="00CD37BB"/>
    <w:rsid w:val="00CD38D4"/>
    <w:rsid w:val="00CD3D58"/>
    <w:rsid w:val="00CD3F60"/>
    <w:rsid w:val="00CD3FC6"/>
    <w:rsid w:val="00CD4346"/>
    <w:rsid w:val="00CD4888"/>
    <w:rsid w:val="00CD4964"/>
    <w:rsid w:val="00CD4E9F"/>
    <w:rsid w:val="00CD4ECB"/>
    <w:rsid w:val="00CD516E"/>
    <w:rsid w:val="00CD5B19"/>
    <w:rsid w:val="00CD5CA7"/>
    <w:rsid w:val="00CD608C"/>
    <w:rsid w:val="00CD6399"/>
    <w:rsid w:val="00CD689C"/>
    <w:rsid w:val="00CD69A4"/>
    <w:rsid w:val="00CD6A06"/>
    <w:rsid w:val="00CD6B0C"/>
    <w:rsid w:val="00CD6B70"/>
    <w:rsid w:val="00CD7330"/>
    <w:rsid w:val="00CD7857"/>
    <w:rsid w:val="00CD793F"/>
    <w:rsid w:val="00CD7C56"/>
    <w:rsid w:val="00CD7C67"/>
    <w:rsid w:val="00CD7DEA"/>
    <w:rsid w:val="00CD7F95"/>
    <w:rsid w:val="00CE04B2"/>
    <w:rsid w:val="00CE06DC"/>
    <w:rsid w:val="00CE06E5"/>
    <w:rsid w:val="00CE0710"/>
    <w:rsid w:val="00CE07E2"/>
    <w:rsid w:val="00CE0A67"/>
    <w:rsid w:val="00CE0A6D"/>
    <w:rsid w:val="00CE113E"/>
    <w:rsid w:val="00CE114E"/>
    <w:rsid w:val="00CE119D"/>
    <w:rsid w:val="00CE1478"/>
    <w:rsid w:val="00CE17A1"/>
    <w:rsid w:val="00CE1B0F"/>
    <w:rsid w:val="00CE1E77"/>
    <w:rsid w:val="00CE215C"/>
    <w:rsid w:val="00CE233C"/>
    <w:rsid w:val="00CE2637"/>
    <w:rsid w:val="00CE273C"/>
    <w:rsid w:val="00CE2B4C"/>
    <w:rsid w:val="00CE3221"/>
    <w:rsid w:val="00CE3350"/>
    <w:rsid w:val="00CE34FD"/>
    <w:rsid w:val="00CE3631"/>
    <w:rsid w:val="00CE3703"/>
    <w:rsid w:val="00CE39B8"/>
    <w:rsid w:val="00CE3C4F"/>
    <w:rsid w:val="00CE3DD8"/>
    <w:rsid w:val="00CE3FEF"/>
    <w:rsid w:val="00CE4092"/>
    <w:rsid w:val="00CE5044"/>
    <w:rsid w:val="00CE5388"/>
    <w:rsid w:val="00CE5430"/>
    <w:rsid w:val="00CE5520"/>
    <w:rsid w:val="00CE5554"/>
    <w:rsid w:val="00CE58AE"/>
    <w:rsid w:val="00CE5A79"/>
    <w:rsid w:val="00CE5AE8"/>
    <w:rsid w:val="00CE5BB8"/>
    <w:rsid w:val="00CE5DE2"/>
    <w:rsid w:val="00CE600C"/>
    <w:rsid w:val="00CE62F1"/>
    <w:rsid w:val="00CE6794"/>
    <w:rsid w:val="00CE67E0"/>
    <w:rsid w:val="00CE680C"/>
    <w:rsid w:val="00CE688D"/>
    <w:rsid w:val="00CE6AD3"/>
    <w:rsid w:val="00CE6CB5"/>
    <w:rsid w:val="00CE6FAC"/>
    <w:rsid w:val="00CE70DB"/>
    <w:rsid w:val="00CE72A7"/>
    <w:rsid w:val="00CE72E1"/>
    <w:rsid w:val="00CE73E1"/>
    <w:rsid w:val="00CE73ED"/>
    <w:rsid w:val="00CE7438"/>
    <w:rsid w:val="00CE74C4"/>
    <w:rsid w:val="00CE79A9"/>
    <w:rsid w:val="00CE7A08"/>
    <w:rsid w:val="00CE7A27"/>
    <w:rsid w:val="00CE7C19"/>
    <w:rsid w:val="00CE7C42"/>
    <w:rsid w:val="00CE7CA1"/>
    <w:rsid w:val="00CE7DD9"/>
    <w:rsid w:val="00CE7EA7"/>
    <w:rsid w:val="00CE7F0F"/>
    <w:rsid w:val="00CE7F67"/>
    <w:rsid w:val="00CE7F81"/>
    <w:rsid w:val="00CF0191"/>
    <w:rsid w:val="00CF026D"/>
    <w:rsid w:val="00CF044A"/>
    <w:rsid w:val="00CF06DE"/>
    <w:rsid w:val="00CF088B"/>
    <w:rsid w:val="00CF094E"/>
    <w:rsid w:val="00CF0AB4"/>
    <w:rsid w:val="00CF1086"/>
    <w:rsid w:val="00CF136B"/>
    <w:rsid w:val="00CF1501"/>
    <w:rsid w:val="00CF197F"/>
    <w:rsid w:val="00CF1A04"/>
    <w:rsid w:val="00CF1AC2"/>
    <w:rsid w:val="00CF1B35"/>
    <w:rsid w:val="00CF1D24"/>
    <w:rsid w:val="00CF1D51"/>
    <w:rsid w:val="00CF1E16"/>
    <w:rsid w:val="00CF2172"/>
    <w:rsid w:val="00CF2398"/>
    <w:rsid w:val="00CF2670"/>
    <w:rsid w:val="00CF2707"/>
    <w:rsid w:val="00CF2B37"/>
    <w:rsid w:val="00CF2C1A"/>
    <w:rsid w:val="00CF3072"/>
    <w:rsid w:val="00CF3137"/>
    <w:rsid w:val="00CF352A"/>
    <w:rsid w:val="00CF3570"/>
    <w:rsid w:val="00CF3622"/>
    <w:rsid w:val="00CF37E6"/>
    <w:rsid w:val="00CF3EB7"/>
    <w:rsid w:val="00CF3F66"/>
    <w:rsid w:val="00CF41C4"/>
    <w:rsid w:val="00CF4254"/>
    <w:rsid w:val="00CF43ED"/>
    <w:rsid w:val="00CF4403"/>
    <w:rsid w:val="00CF45E9"/>
    <w:rsid w:val="00CF483E"/>
    <w:rsid w:val="00CF4A21"/>
    <w:rsid w:val="00CF4DE3"/>
    <w:rsid w:val="00CF4F8D"/>
    <w:rsid w:val="00CF5160"/>
    <w:rsid w:val="00CF51D9"/>
    <w:rsid w:val="00CF572C"/>
    <w:rsid w:val="00CF57B6"/>
    <w:rsid w:val="00CF5D1C"/>
    <w:rsid w:val="00CF616C"/>
    <w:rsid w:val="00CF69F3"/>
    <w:rsid w:val="00CF6F4B"/>
    <w:rsid w:val="00CF6FE7"/>
    <w:rsid w:val="00CF7066"/>
    <w:rsid w:val="00CF7314"/>
    <w:rsid w:val="00CF74E6"/>
    <w:rsid w:val="00CF7AAC"/>
    <w:rsid w:val="00CF7E0E"/>
    <w:rsid w:val="00D000FE"/>
    <w:rsid w:val="00D003B3"/>
    <w:rsid w:val="00D004A8"/>
    <w:rsid w:val="00D008A5"/>
    <w:rsid w:val="00D009C4"/>
    <w:rsid w:val="00D009C6"/>
    <w:rsid w:val="00D00A7A"/>
    <w:rsid w:val="00D00D0C"/>
    <w:rsid w:val="00D00DDF"/>
    <w:rsid w:val="00D00E3C"/>
    <w:rsid w:val="00D00F0D"/>
    <w:rsid w:val="00D01202"/>
    <w:rsid w:val="00D01445"/>
    <w:rsid w:val="00D0195D"/>
    <w:rsid w:val="00D019E6"/>
    <w:rsid w:val="00D02074"/>
    <w:rsid w:val="00D021E7"/>
    <w:rsid w:val="00D02434"/>
    <w:rsid w:val="00D02457"/>
    <w:rsid w:val="00D029BA"/>
    <w:rsid w:val="00D02BB3"/>
    <w:rsid w:val="00D02D4F"/>
    <w:rsid w:val="00D03776"/>
    <w:rsid w:val="00D038E3"/>
    <w:rsid w:val="00D03CEC"/>
    <w:rsid w:val="00D04202"/>
    <w:rsid w:val="00D042B3"/>
    <w:rsid w:val="00D04873"/>
    <w:rsid w:val="00D049B6"/>
    <w:rsid w:val="00D04C83"/>
    <w:rsid w:val="00D04E79"/>
    <w:rsid w:val="00D05206"/>
    <w:rsid w:val="00D05355"/>
    <w:rsid w:val="00D05537"/>
    <w:rsid w:val="00D0589D"/>
    <w:rsid w:val="00D05AF9"/>
    <w:rsid w:val="00D05C7A"/>
    <w:rsid w:val="00D05E2C"/>
    <w:rsid w:val="00D05EBC"/>
    <w:rsid w:val="00D0612C"/>
    <w:rsid w:val="00D0643B"/>
    <w:rsid w:val="00D06C5B"/>
    <w:rsid w:val="00D0712B"/>
    <w:rsid w:val="00D07269"/>
    <w:rsid w:val="00D07299"/>
    <w:rsid w:val="00D07330"/>
    <w:rsid w:val="00D073AB"/>
    <w:rsid w:val="00D073F6"/>
    <w:rsid w:val="00D0742A"/>
    <w:rsid w:val="00D074E0"/>
    <w:rsid w:val="00D075FF"/>
    <w:rsid w:val="00D0783C"/>
    <w:rsid w:val="00D07851"/>
    <w:rsid w:val="00D07907"/>
    <w:rsid w:val="00D07CA7"/>
    <w:rsid w:val="00D07F6E"/>
    <w:rsid w:val="00D07FDB"/>
    <w:rsid w:val="00D103E2"/>
    <w:rsid w:val="00D10580"/>
    <w:rsid w:val="00D106A1"/>
    <w:rsid w:val="00D106EA"/>
    <w:rsid w:val="00D1082F"/>
    <w:rsid w:val="00D10B93"/>
    <w:rsid w:val="00D10D21"/>
    <w:rsid w:val="00D11190"/>
    <w:rsid w:val="00D111D8"/>
    <w:rsid w:val="00D111FE"/>
    <w:rsid w:val="00D11518"/>
    <w:rsid w:val="00D11A49"/>
    <w:rsid w:val="00D11AD9"/>
    <w:rsid w:val="00D11ED9"/>
    <w:rsid w:val="00D11FF7"/>
    <w:rsid w:val="00D12201"/>
    <w:rsid w:val="00D12812"/>
    <w:rsid w:val="00D128F2"/>
    <w:rsid w:val="00D12C29"/>
    <w:rsid w:val="00D12C85"/>
    <w:rsid w:val="00D13053"/>
    <w:rsid w:val="00D13914"/>
    <w:rsid w:val="00D13AB9"/>
    <w:rsid w:val="00D13B29"/>
    <w:rsid w:val="00D13BFD"/>
    <w:rsid w:val="00D13F0A"/>
    <w:rsid w:val="00D14530"/>
    <w:rsid w:val="00D145C7"/>
    <w:rsid w:val="00D146EF"/>
    <w:rsid w:val="00D1472F"/>
    <w:rsid w:val="00D14782"/>
    <w:rsid w:val="00D14B05"/>
    <w:rsid w:val="00D1511D"/>
    <w:rsid w:val="00D151F1"/>
    <w:rsid w:val="00D15D0F"/>
    <w:rsid w:val="00D15FC1"/>
    <w:rsid w:val="00D15FE0"/>
    <w:rsid w:val="00D161F4"/>
    <w:rsid w:val="00D1661B"/>
    <w:rsid w:val="00D16631"/>
    <w:rsid w:val="00D16665"/>
    <w:rsid w:val="00D16A0A"/>
    <w:rsid w:val="00D16A57"/>
    <w:rsid w:val="00D16E4A"/>
    <w:rsid w:val="00D16E83"/>
    <w:rsid w:val="00D16E8F"/>
    <w:rsid w:val="00D17013"/>
    <w:rsid w:val="00D176A1"/>
    <w:rsid w:val="00D1787E"/>
    <w:rsid w:val="00D179F1"/>
    <w:rsid w:val="00D17A3C"/>
    <w:rsid w:val="00D17A4A"/>
    <w:rsid w:val="00D17A92"/>
    <w:rsid w:val="00D17BED"/>
    <w:rsid w:val="00D17C82"/>
    <w:rsid w:val="00D17FB2"/>
    <w:rsid w:val="00D20021"/>
    <w:rsid w:val="00D2011F"/>
    <w:rsid w:val="00D20362"/>
    <w:rsid w:val="00D205B6"/>
    <w:rsid w:val="00D205F4"/>
    <w:rsid w:val="00D20795"/>
    <w:rsid w:val="00D20884"/>
    <w:rsid w:val="00D20C7F"/>
    <w:rsid w:val="00D20D18"/>
    <w:rsid w:val="00D20FD3"/>
    <w:rsid w:val="00D215E4"/>
    <w:rsid w:val="00D216BE"/>
    <w:rsid w:val="00D21B6E"/>
    <w:rsid w:val="00D21D3C"/>
    <w:rsid w:val="00D21D5C"/>
    <w:rsid w:val="00D2234A"/>
    <w:rsid w:val="00D2266D"/>
    <w:rsid w:val="00D22AF5"/>
    <w:rsid w:val="00D234D3"/>
    <w:rsid w:val="00D23841"/>
    <w:rsid w:val="00D23A78"/>
    <w:rsid w:val="00D23B1E"/>
    <w:rsid w:val="00D23B72"/>
    <w:rsid w:val="00D23C05"/>
    <w:rsid w:val="00D23ED8"/>
    <w:rsid w:val="00D23F4B"/>
    <w:rsid w:val="00D24291"/>
    <w:rsid w:val="00D242C9"/>
    <w:rsid w:val="00D2441E"/>
    <w:rsid w:val="00D24436"/>
    <w:rsid w:val="00D2460D"/>
    <w:rsid w:val="00D248A4"/>
    <w:rsid w:val="00D24B5C"/>
    <w:rsid w:val="00D24ED3"/>
    <w:rsid w:val="00D2523A"/>
    <w:rsid w:val="00D25289"/>
    <w:rsid w:val="00D25BAC"/>
    <w:rsid w:val="00D25CED"/>
    <w:rsid w:val="00D26218"/>
    <w:rsid w:val="00D26464"/>
    <w:rsid w:val="00D2656B"/>
    <w:rsid w:val="00D26AAE"/>
    <w:rsid w:val="00D26C49"/>
    <w:rsid w:val="00D275E4"/>
    <w:rsid w:val="00D27A5A"/>
    <w:rsid w:val="00D3035A"/>
    <w:rsid w:val="00D3041F"/>
    <w:rsid w:val="00D3044C"/>
    <w:rsid w:val="00D30599"/>
    <w:rsid w:val="00D306A9"/>
    <w:rsid w:val="00D3075E"/>
    <w:rsid w:val="00D30B5C"/>
    <w:rsid w:val="00D313B1"/>
    <w:rsid w:val="00D315F4"/>
    <w:rsid w:val="00D317F3"/>
    <w:rsid w:val="00D31891"/>
    <w:rsid w:val="00D318B1"/>
    <w:rsid w:val="00D31C6F"/>
    <w:rsid w:val="00D31CFA"/>
    <w:rsid w:val="00D31D93"/>
    <w:rsid w:val="00D31EDB"/>
    <w:rsid w:val="00D31EDE"/>
    <w:rsid w:val="00D320A2"/>
    <w:rsid w:val="00D3219F"/>
    <w:rsid w:val="00D321C3"/>
    <w:rsid w:val="00D321CE"/>
    <w:rsid w:val="00D32300"/>
    <w:rsid w:val="00D327D7"/>
    <w:rsid w:val="00D327E2"/>
    <w:rsid w:val="00D32EF4"/>
    <w:rsid w:val="00D33017"/>
    <w:rsid w:val="00D333B4"/>
    <w:rsid w:val="00D336AE"/>
    <w:rsid w:val="00D339BD"/>
    <w:rsid w:val="00D33AB3"/>
    <w:rsid w:val="00D33B4D"/>
    <w:rsid w:val="00D33D0C"/>
    <w:rsid w:val="00D33FAC"/>
    <w:rsid w:val="00D341CD"/>
    <w:rsid w:val="00D342A6"/>
    <w:rsid w:val="00D34708"/>
    <w:rsid w:val="00D34914"/>
    <w:rsid w:val="00D34A0D"/>
    <w:rsid w:val="00D34C53"/>
    <w:rsid w:val="00D3501D"/>
    <w:rsid w:val="00D353A1"/>
    <w:rsid w:val="00D3546D"/>
    <w:rsid w:val="00D3595E"/>
    <w:rsid w:val="00D359AD"/>
    <w:rsid w:val="00D359C0"/>
    <w:rsid w:val="00D35BF1"/>
    <w:rsid w:val="00D35C27"/>
    <w:rsid w:val="00D3632E"/>
    <w:rsid w:val="00D36720"/>
    <w:rsid w:val="00D367F9"/>
    <w:rsid w:val="00D37083"/>
    <w:rsid w:val="00D370FC"/>
    <w:rsid w:val="00D3719E"/>
    <w:rsid w:val="00D3725C"/>
    <w:rsid w:val="00D37282"/>
    <w:rsid w:val="00D37375"/>
    <w:rsid w:val="00D373CF"/>
    <w:rsid w:val="00D373F8"/>
    <w:rsid w:val="00D377F4"/>
    <w:rsid w:val="00D37DD5"/>
    <w:rsid w:val="00D40359"/>
    <w:rsid w:val="00D407E4"/>
    <w:rsid w:val="00D408C5"/>
    <w:rsid w:val="00D40A73"/>
    <w:rsid w:val="00D41081"/>
    <w:rsid w:val="00D41639"/>
    <w:rsid w:val="00D41952"/>
    <w:rsid w:val="00D41B3A"/>
    <w:rsid w:val="00D41CB9"/>
    <w:rsid w:val="00D41D31"/>
    <w:rsid w:val="00D422AA"/>
    <w:rsid w:val="00D429CC"/>
    <w:rsid w:val="00D42B12"/>
    <w:rsid w:val="00D432B6"/>
    <w:rsid w:val="00D4334B"/>
    <w:rsid w:val="00D43651"/>
    <w:rsid w:val="00D43863"/>
    <w:rsid w:val="00D43EE0"/>
    <w:rsid w:val="00D43EE6"/>
    <w:rsid w:val="00D4426F"/>
    <w:rsid w:val="00D446D5"/>
    <w:rsid w:val="00D4480C"/>
    <w:rsid w:val="00D44BD1"/>
    <w:rsid w:val="00D44DD6"/>
    <w:rsid w:val="00D452A9"/>
    <w:rsid w:val="00D45B8E"/>
    <w:rsid w:val="00D45EF3"/>
    <w:rsid w:val="00D45F19"/>
    <w:rsid w:val="00D46943"/>
    <w:rsid w:val="00D46E41"/>
    <w:rsid w:val="00D47085"/>
    <w:rsid w:val="00D47197"/>
    <w:rsid w:val="00D471C9"/>
    <w:rsid w:val="00D47362"/>
    <w:rsid w:val="00D47436"/>
    <w:rsid w:val="00D47488"/>
    <w:rsid w:val="00D47627"/>
    <w:rsid w:val="00D476DF"/>
    <w:rsid w:val="00D476F5"/>
    <w:rsid w:val="00D47712"/>
    <w:rsid w:val="00D4773E"/>
    <w:rsid w:val="00D47F32"/>
    <w:rsid w:val="00D5046A"/>
    <w:rsid w:val="00D504B1"/>
    <w:rsid w:val="00D505CB"/>
    <w:rsid w:val="00D5086A"/>
    <w:rsid w:val="00D50CA3"/>
    <w:rsid w:val="00D510CD"/>
    <w:rsid w:val="00D51140"/>
    <w:rsid w:val="00D511BE"/>
    <w:rsid w:val="00D5133A"/>
    <w:rsid w:val="00D515D2"/>
    <w:rsid w:val="00D5174C"/>
    <w:rsid w:val="00D5180C"/>
    <w:rsid w:val="00D51CBE"/>
    <w:rsid w:val="00D51D7C"/>
    <w:rsid w:val="00D51DAA"/>
    <w:rsid w:val="00D51E01"/>
    <w:rsid w:val="00D51E8A"/>
    <w:rsid w:val="00D52122"/>
    <w:rsid w:val="00D52190"/>
    <w:rsid w:val="00D52317"/>
    <w:rsid w:val="00D52385"/>
    <w:rsid w:val="00D52590"/>
    <w:rsid w:val="00D52F56"/>
    <w:rsid w:val="00D53155"/>
    <w:rsid w:val="00D531AB"/>
    <w:rsid w:val="00D5320C"/>
    <w:rsid w:val="00D53252"/>
    <w:rsid w:val="00D5326B"/>
    <w:rsid w:val="00D5331E"/>
    <w:rsid w:val="00D53E56"/>
    <w:rsid w:val="00D53F1C"/>
    <w:rsid w:val="00D54277"/>
    <w:rsid w:val="00D5437F"/>
    <w:rsid w:val="00D5466E"/>
    <w:rsid w:val="00D54A82"/>
    <w:rsid w:val="00D54AD7"/>
    <w:rsid w:val="00D54B9E"/>
    <w:rsid w:val="00D54D24"/>
    <w:rsid w:val="00D553C0"/>
    <w:rsid w:val="00D556FD"/>
    <w:rsid w:val="00D557C4"/>
    <w:rsid w:val="00D55F06"/>
    <w:rsid w:val="00D55F13"/>
    <w:rsid w:val="00D5603E"/>
    <w:rsid w:val="00D561E7"/>
    <w:rsid w:val="00D5665C"/>
    <w:rsid w:val="00D56830"/>
    <w:rsid w:val="00D56D81"/>
    <w:rsid w:val="00D57008"/>
    <w:rsid w:val="00D57418"/>
    <w:rsid w:val="00D575CB"/>
    <w:rsid w:val="00D575CF"/>
    <w:rsid w:val="00D5763F"/>
    <w:rsid w:val="00D57682"/>
    <w:rsid w:val="00D5769B"/>
    <w:rsid w:val="00D57906"/>
    <w:rsid w:val="00D57AF0"/>
    <w:rsid w:val="00D57D3F"/>
    <w:rsid w:val="00D601A8"/>
    <w:rsid w:val="00D60377"/>
    <w:rsid w:val="00D6037F"/>
    <w:rsid w:val="00D60599"/>
    <w:rsid w:val="00D606AD"/>
    <w:rsid w:val="00D609D9"/>
    <w:rsid w:val="00D60C1C"/>
    <w:rsid w:val="00D61072"/>
    <w:rsid w:val="00D6138B"/>
    <w:rsid w:val="00D6147C"/>
    <w:rsid w:val="00D6161F"/>
    <w:rsid w:val="00D618F5"/>
    <w:rsid w:val="00D61C43"/>
    <w:rsid w:val="00D61DF8"/>
    <w:rsid w:val="00D61EBF"/>
    <w:rsid w:val="00D61ED0"/>
    <w:rsid w:val="00D6205F"/>
    <w:rsid w:val="00D62594"/>
    <w:rsid w:val="00D62907"/>
    <w:rsid w:val="00D62BB2"/>
    <w:rsid w:val="00D62CAB"/>
    <w:rsid w:val="00D6314D"/>
    <w:rsid w:val="00D63231"/>
    <w:rsid w:val="00D63507"/>
    <w:rsid w:val="00D63A9B"/>
    <w:rsid w:val="00D63B81"/>
    <w:rsid w:val="00D63C86"/>
    <w:rsid w:val="00D63CBA"/>
    <w:rsid w:val="00D63CD8"/>
    <w:rsid w:val="00D63EFE"/>
    <w:rsid w:val="00D63FF3"/>
    <w:rsid w:val="00D63FF6"/>
    <w:rsid w:val="00D6432C"/>
    <w:rsid w:val="00D6444C"/>
    <w:rsid w:val="00D64979"/>
    <w:rsid w:val="00D6497D"/>
    <w:rsid w:val="00D64BB8"/>
    <w:rsid w:val="00D64D61"/>
    <w:rsid w:val="00D65157"/>
    <w:rsid w:val="00D65745"/>
    <w:rsid w:val="00D657D0"/>
    <w:rsid w:val="00D6594E"/>
    <w:rsid w:val="00D65973"/>
    <w:rsid w:val="00D65E0D"/>
    <w:rsid w:val="00D66724"/>
    <w:rsid w:val="00D66A1B"/>
    <w:rsid w:val="00D66A62"/>
    <w:rsid w:val="00D66B29"/>
    <w:rsid w:val="00D66D6A"/>
    <w:rsid w:val="00D6712A"/>
    <w:rsid w:val="00D6721D"/>
    <w:rsid w:val="00D67681"/>
    <w:rsid w:val="00D67A19"/>
    <w:rsid w:val="00D67A49"/>
    <w:rsid w:val="00D67D31"/>
    <w:rsid w:val="00D700F5"/>
    <w:rsid w:val="00D703D5"/>
    <w:rsid w:val="00D704A8"/>
    <w:rsid w:val="00D704E8"/>
    <w:rsid w:val="00D706CD"/>
    <w:rsid w:val="00D707C0"/>
    <w:rsid w:val="00D70C67"/>
    <w:rsid w:val="00D70FA5"/>
    <w:rsid w:val="00D710C3"/>
    <w:rsid w:val="00D710E9"/>
    <w:rsid w:val="00D71308"/>
    <w:rsid w:val="00D7156F"/>
    <w:rsid w:val="00D71699"/>
    <w:rsid w:val="00D72223"/>
    <w:rsid w:val="00D7222F"/>
    <w:rsid w:val="00D722D0"/>
    <w:rsid w:val="00D72482"/>
    <w:rsid w:val="00D726B2"/>
    <w:rsid w:val="00D72777"/>
    <w:rsid w:val="00D729E8"/>
    <w:rsid w:val="00D72A23"/>
    <w:rsid w:val="00D72AF6"/>
    <w:rsid w:val="00D72BB7"/>
    <w:rsid w:val="00D72C17"/>
    <w:rsid w:val="00D72C19"/>
    <w:rsid w:val="00D72D44"/>
    <w:rsid w:val="00D72FB7"/>
    <w:rsid w:val="00D7384B"/>
    <w:rsid w:val="00D739D3"/>
    <w:rsid w:val="00D73CF9"/>
    <w:rsid w:val="00D73F7A"/>
    <w:rsid w:val="00D7412D"/>
    <w:rsid w:val="00D7419B"/>
    <w:rsid w:val="00D744A4"/>
    <w:rsid w:val="00D7470A"/>
    <w:rsid w:val="00D747A2"/>
    <w:rsid w:val="00D748F7"/>
    <w:rsid w:val="00D74DBF"/>
    <w:rsid w:val="00D74E4D"/>
    <w:rsid w:val="00D7502A"/>
    <w:rsid w:val="00D75030"/>
    <w:rsid w:val="00D752C0"/>
    <w:rsid w:val="00D75398"/>
    <w:rsid w:val="00D7588F"/>
    <w:rsid w:val="00D75ADE"/>
    <w:rsid w:val="00D75FB3"/>
    <w:rsid w:val="00D76341"/>
    <w:rsid w:val="00D764E0"/>
    <w:rsid w:val="00D766A2"/>
    <w:rsid w:val="00D766E8"/>
    <w:rsid w:val="00D76A87"/>
    <w:rsid w:val="00D76CBB"/>
    <w:rsid w:val="00D770E4"/>
    <w:rsid w:val="00D77113"/>
    <w:rsid w:val="00D77272"/>
    <w:rsid w:val="00D773BF"/>
    <w:rsid w:val="00D776E6"/>
    <w:rsid w:val="00D7771F"/>
    <w:rsid w:val="00D778CD"/>
    <w:rsid w:val="00D77C43"/>
    <w:rsid w:val="00D77DF5"/>
    <w:rsid w:val="00D77F36"/>
    <w:rsid w:val="00D80051"/>
    <w:rsid w:val="00D803DB"/>
    <w:rsid w:val="00D80436"/>
    <w:rsid w:val="00D80A2A"/>
    <w:rsid w:val="00D80F1C"/>
    <w:rsid w:val="00D81193"/>
    <w:rsid w:val="00D8119A"/>
    <w:rsid w:val="00D8171A"/>
    <w:rsid w:val="00D818F2"/>
    <w:rsid w:val="00D81A6B"/>
    <w:rsid w:val="00D81B5E"/>
    <w:rsid w:val="00D81BAE"/>
    <w:rsid w:val="00D82194"/>
    <w:rsid w:val="00D823ED"/>
    <w:rsid w:val="00D82510"/>
    <w:rsid w:val="00D82649"/>
    <w:rsid w:val="00D829A0"/>
    <w:rsid w:val="00D82B9F"/>
    <w:rsid w:val="00D830EA"/>
    <w:rsid w:val="00D8331A"/>
    <w:rsid w:val="00D836DC"/>
    <w:rsid w:val="00D83757"/>
    <w:rsid w:val="00D83893"/>
    <w:rsid w:val="00D83D4B"/>
    <w:rsid w:val="00D8406F"/>
    <w:rsid w:val="00D8412A"/>
    <w:rsid w:val="00D84317"/>
    <w:rsid w:val="00D84518"/>
    <w:rsid w:val="00D847AB"/>
    <w:rsid w:val="00D847C1"/>
    <w:rsid w:val="00D84EA4"/>
    <w:rsid w:val="00D85020"/>
    <w:rsid w:val="00D8550B"/>
    <w:rsid w:val="00D85882"/>
    <w:rsid w:val="00D85915"/>
    <w:rsid w:val="00D859B3"/>
    <w:rsid w:val="00D85A81"/>
    <w:rsid w:val="00D85C3F"/>
    <w:rsid w:val="00D85D12"/>
    <w:rsid w:val="00D860EC"/>
    <w:rsid w:val="00D861D3"/>
    <w:rsid w:val="00D86212"/>
    <w:rsid w:val="00D8628F"/>
    <w:rsid w:val="00D86357"/>
    <w:rsid w:val="00D8690E"/>
    <w:rsid w:val="00D8696B"/>
    <w:rsid w:val="00D86C23"/>
    <w:rsid w:val="00D86CBB"/>
    <w:rsid w:val="00D86DAC"/>
    <w:rsid w:val="00D86DFC"/>
    <w:rsid w:val="00D8702B"/>
    <w:rsid w:val="00D87186"/>
    <w:rsid w:val="00D872AA"/>
    <w:rsid w:val="00D873BA"/>
    <w:rsid w:val="00D8745E"/>
    <w:rsid w:val="00D874BB"/>
    <w:rsid w:val="00D87552"/>
    <w:rsid w:val="00D87554"/>
    <w:rsid w:val="00D87656"/>
    <w:rsid w:val="00D87670"/>
    <w:rsid w:val="00D87722"/>
    <w:rsid w:val="00D87B2F"/>
    <w:rsid w:val="00D9035E"/>
    <w:rsid w:val="00D9051E"/>
    <w:rsid w:val="00D9080A"/>
    <w:rsid w:val="00D90906"/>
    <w:rsid w:val="00D90BF9"/>
    <w:rsid w:val="00D90EC9"/>
    <w:rsid w:val="00D90F88"/>
    <w:rsid w:val="00D912E1"/>
    <w:rsid w:val="00D913EB"/>
    <w:rsid w:val="00D916B0"/>
    <w:rsid w:val="00D91B1F"/>
    <w:rsid w:val="00D91FF4"/>
    <w:rsid w:val="00D921AC"/>
    <w:rsid w:val="00D9228A"/>
    <w:rsid w:val="00D92418"/>
    <w:rsid w:val="00D925A3"/>
    <w:rsid w:val="00D925A9"/>
    <w:rsid w:val="00D925E3"/>
    <w:rsid w:val="00D92748"/>
    <w:rsid w:val="00D92A37"/>
    <w:rsid w:val="00D92B18"/>
    <w:rsid w:val="00D931C2"/>
    <w:rsid w:val="00D9371E"/>
    <w:rsid w:val="00D9372D"/>
    <w:rsid w:val="00D939A8"/>
    <w:rsid w:val="00D94245"/>
    <w:rsid w:val="00D9428E"/>
    <w:rsid w:val="00D942A6"/>
    <w:rsid w:val="00D94355"/>
    <w:rsid w:val="00D9471D"/>
    <w:rsid w:val="00D94A78"/>
    <w:rsid w:val="00D94AA5"/>
    <w:rsid w:val="00D94B0F"/>
    <w:rsid w:val="00D94D78"/>
    <w:rsid w:val="00D950FA"/>
    <w:rsid w:val="00D95160"/>
    <w:rsid w:val="00D9541E"/>
    <w:rsid w:val="00D9596D"/>
    <w:rsid w:val="00D959F3"/>
    <w:rsid w:val="00D960E7"/>
    <w:rsid w:val="00D9641F"/>
    <w:rsid w:val="00D96A59"/>
    <w:rsid w:val="00D96A73"/>
    <w:rsid w:val="00D96B46"/>
    <w:rsid w:val="00D96C22"/>
    <w:rsid w:val="00D973B1"/>
    <w:rsid w:val="00D97D9E"/>
    <w:rsid w:val="00D97DFC"/>
    <w:rsid w:val="00D97E07"/>
    <w:rsid w:val="00D97F50"/>
    <w:rsid w:val="00DA0044"/>
    <w:rsid w:val="00DA0C19"/>
    <w:rsid w:val="00DA0D12"/>
    <w:rsid w:val="00DA0DDC"/>
    <w:rsid w:val="00DA130B"/>
    <w:rsid w:val="00DA1459"/>
    <w:rsid w:val="00DA15EA"/>
    <w:rsid w:val="00DA184D"/>
    <w:rsid w:val="00DA1853"/>
    <w:rsid w:val="00DA1866"/>
    <w:rsid w:val="00DA1E20"/>
    <w:rsid w:val="00DA2513"/>
    <w:rsid w:val="00DA28D8"/>
    <w:rsid w:val="00DA29CF"/>
    <w:rsid w:val="00DA2BB3"/>
    <w:rsid w:val="00DA2BFB"/>
    <w:rsid w:val="00DA2C61"/>
    <w:rsid w:val="00DA2C6E"/>
    <w:rsid w:val="00DA2DCD"/>
    <w:rsid w:val="00DA3148"/>
    <w:rsid w:val="00DA3630"/>
    <w:rsid w:val="00DA3B18"/>
    <w:rsid w:val="00DA3BF2"/>
    <w:rsid w:val="00DA3F06"/>
    <w:rsid w:val="00DA413C"/>
    <w:rsid w:val="00DA4A96"/>
    <w:rsid w:val="00DA4B31"/>
    <w:rsid w:val="00DA4DDD"/>
    <w:rsid w:val="00DA4EE4"/>
    <w:rsid w:val="00DA5053"/>
    <w:rsid w:val="00DA5139"/>
    <w:rsid w:val="00DA555A"/>
    <w:rsid w:val="00DA5B5E"/>
    <w:rsid w:val="00DA5BE1"/>
    <w:rsid w:val="00DA5C92"/>
    <w:rsid w:val="00DA5D0A"/>
    <w:rsid w:val="00DA5DA4"/>
    <w:rsid w:val="00DA612D"/>
    <w:rsid w:val="00DA61A3"/>
    <w:rsid w:val="00DA6234"/>
    <w:rsid w:val="00DA702D"/>
    <w:rsid w:val="00DA71CB"/>
    <w:rsid w:val="00DA739F"/>
    <w:rsid w:val="00DA78B9"/>
    <w:rsid w:val="00DA7B1D"/>
    <w:rsid w:val="00DB014D"/>
    <w:rsid w:val="00DB03B7"/>
    <w:rsid w:val="00DB0486"/>
    <w:rsid w:val="00DB062A"/>
    <w:rsid w:val="00DB06B2"/>
    <w:rsid w:val="00DB074D"/>
    <w:rsid w:val="00DB0939"/>
    <w:rsid w:val="00DB10CD"/>
    <w:rsid w:val="00DB1116"/>
    <w:rsid w:val="00DB1938"/>
    <w:rsid w:val="00DB1962"/>
    <w:rsid w:val="00DB22E0"/>
    <w:rsid w:val="00DB23F2"/>
    <w:rsid w:val="00DB250D"/>
    <w:rsid w:val="00DB27A9"/>
    <w:rsid w:val="00DB290D"/>
    <w:rsid w:val="00DB298B"/>
    <w:rsid w:val="00DB3052"/>
    <w:rsid w:val="00DB329E"/>
    <w:rsid w:val="00DB3305"/>
    <w:rsid w:val="00DB34FF"/>
    <w:rsid w:val="00DB3579"/>
    <w:rsid w:val="00DB3733"/>
    <w:rsid w:val="00DB39A7"/>
    <w:rsid w:val="00DB3B2F"/>
    <w:rsid w:val="00DB3B8F"/>
    <w:rsid w:val="00DB3E03"/>
    <w:rsid w:val="00DB429A"/>
    <w:rsid w:val="00DB42F4"/>
    <w:rsid w:val="00DB4425"/>
    <w:rsid w:val="00DB4BAD"/>
    <w:rsid w:val="00DB4CAF"/>
    <w:rsid w:val="00DB4D33"/>
    <w:rsid w:val="00DB4D6D"/>
    <w:rsid w:val="00DB4D77"/>
    <w:rsid w:val="00DB4E65"/>
    <w:rsid w:val="00DB5038"/>
    <w:rsid w:val="00DB50F8"/>
    <w:rsid w:val="00DB5414"/>
    <w:rsid w:val="00DB5443"/>
    <w:rsid w:val="00DB557C"/>
    <w:rsid w:val="00DB55A6"/>
    <w:rsid w:val="00DB564E"/>
    <w:rsid w:val="00DB56DA"/>
    <w:rsid w:val="00DB56E3"/>
    <w:rsid w:val="00DB5724"/>
    <w:rsid w:val="00DB5E1B"/>
    <w:rsid w:val="00DB5E9C"/>
    <w:rsid w:val="00DB5FC3"/>
    <w:rsid w:val="00DB670D"/>
    <w:rsid w:val="00DB6844"/>
    <w:rsid w:val="00DB692B"/>
    <w:rsid w:val="00DB6C01"/>
    <w:rsid w:val="00DB6C9C"/>
    <w:rsid w:val="00DB6D1B"/>
    <w:rsid w:val="00DB7008"/>
    <w:rsid w:val="00DB78A0"/>
    <w:rsid w:val="00DC0508"/>
    <w:rsid w:val="00DC0666"/>
    <w:rsid w:val="00DC0805"/>
    <w:rsid w:val="00DC080A"/>
    <w:rsid w:val="00DC0B9C"/>
    <w:rsid w:val="00DC0C58"/>
    <w:rsid w:val="00DC0C97"/>
    <w:rsid w:val="00DC0D76"/>
    <w:rsid w:val="00DC10CC"/>
    <w:rsid w:val="00DC163E"/>
    <w:rsid w:val="00DC1667"/>
    <w:rsid w:val="00DC1D4E"/>
    <w:rsid w:val="00DC1DB3"/>
    <w:rsid w:val="00DC1EAF"/>
    <w:rsid w:val="00DC2071"/>
    <w:rsid w:val="00DC2129"/>
    <w:rsid w:val="00DC244F"/>
    <w:rsid w:val="00DC2475"/>
    <w:rsid w:val="00DC2678"/>
    <w:rsid w:val="00DC2A13"/>
    <w:rsid w:val="00DC2F5A"/>
    <w:rsid w:val="00DC2F72"/>
    <w:rsid w:val="00DC2FCF"/>
    <w:rsid w:val="00DC3311"/>
    <w:rsid w:val="00DC3548"/>
    <w:rsid w:val="00DC37A6"/>
    <w:rsid w:val="00DC388E"/>
    <w:rsid w:val="00DC3895"/>
    <w:rsid w:val="00DC3983"/>
    <w:rsid w:val="00DC3989"/>
    <w:rsid w:val="00DC3E43"/>
    <w:rsid w:val="00DC3F37"/>
    <w:rsid w:val="00DC4209"/>
    <w:rsid w:val="00DC42B6"/>
    <w:rsid w:val="00DC435D"/>
    <w:rsid w:val="00DC44AB"/>
    <w:rsid w:val="00DC44EF"/>
    <w:rsid w:val="00DC4667"/>
    <w:rsid w:val="00DC4714"/>
    <w:rsid w:val="00DC4824"/>
    <w:rsid w:val="00DC4CB4"/>
    <w:rsid w:val="00DC5058"/>
    <w:rsid w:val="00DC5087"/>
    <w:rsid w:val="00DC51A7"/>
    <w:rsid w:val="00DC51A8"/>
    <w:rsid w:val="00DC5289"/>
    <w:rsid w:val="00DC5456"/>
    <w:rsid w:val="00DC565C"/>
    <w:rsid w:val="00DC5F94"/>
    <w:rsid w:val="00DC635B"/>
    <w:rsid w:val="00DC651C"/>
    <w:rsid w:val="00DC658D"/>
    <w:rsid w:val="00DC6777"/>
    <w:rsid w:val="00DC6CD4"/>
    <w:rsid w:val="00DC6DDE"/>
    <w:rsid w:val="00DC6EC2"/>
    <w:rsid w:val="00DC6EE9"/>
    <w:rsid w:val="00DC6F7F"/>
    <w:rsid w:val="00DC6FC5"/>
    <w:rsid w:val="00DC703F"/>
    <w:rsid w:val="00DC72D6"/>
    <w:rsid w:val="00DC7425"/>
    <w:rsid w:val="00DC77DF"/>
    <w:rsid w:val="00DC7813"/>
    <w:rsid w:val="00DD00CF"/>
    <w:rsid w:val="00DD012F"/>
    <w:rsid w:val="00DD016E"/>
    <w:rsid w:val="00DD01AD"/>
    <w:rsid w:val="00DD01C5"/>
    <w:rsid w:val="00DD0327"/>
    <w:rsid w:val="00DD03B4"/>
    <w:rsid w:val="00DD03CC"/>
    <w:rsid w:val="00DD0ACA"/>
    <w:rsid w:val="00DD0D28"/>
    <w:rsid w:val="00DD0DD6"/>
    <w:rsid w:val="00DD1337"/>
    <w:rsid w:val="00DD148C"/>
    <w:rsid w:val="00DD186D"/>
    <w:rsid w:val="00DD18CA"/>
    <w:rsid w:val="00DD1DBA"/>
    <w:rsid w:val="00DD2443"/>
    <w:rsid w:val="00DD2474"/>
    <w:rsid w:val="00DD2552"/>
    <w:rsid w:val="00DD25A0"/>
    <w:rsid w:val="00DD26C2"/>
    <w:rsid w:val="00DD26D2"/>
    <w:rsid w:val="00DD28DB"/>
    <w:rsid w:val="00DD2B33"/>
    <w:rsid w:val="00DD2C13"/>
    <w:rsid w:val="00DD2EA8"/>
    <w:rsid w:val="00DD309A"/>
    <w:rsid w:val="00DD3187"/>
    <w:rsid w:val="00DD32AF"/>
    <w:rsid w:val="00DD3430"/>
    <w:rsid w:val="00DD36B3"/>
    <w:rsid w:val="00DD3770"/>
    <w:rsid w:val="00DD395B"/>
    <w:rsid w:val="00DD3B89"/>
    <w:rsid w:val="00DD3BE4"/>
    <w:rsid w:val="00DD3C89"/>
    <w:rsid w:val="00DD3E12"/>
    <w:rsid w:val="00DD4085"/>
    <w:rsid w:val="00DD4169"/>
    <w:rsid w:val="00DD431F"/>
    <w:rsid w:val="00DD4594"/>
    <w:rsid w:val="00DD45EF"/>
    <w:rsid w:val="00DD49BF"/>
    <w:rsid w:val="00DD4D8F"/>
    <w:rsid w:val="00DD4DCF"/>
    <w:rsid w:val="00DD5048"/>
    <w:rsid w:val="00DD5539"/>
    <w:rsid w:val="00DD581E"/>
    <w:rsid w:val="00DD601A"/>
    <w:rsid w:val="00DD6073"/>
    <w:rsid w:val="00DD6484"/>
    <w:rsid w:val="00DD64AB"/>
    <w:rsid w:val="00DD6997"/>
    <w:rsid w:val="00DD6B2E"/>
    <w:rsid w:val="00DD702B"/>
    <w:rsid w:val="00DD705E"/>
    <w:rsid w:val="00DD7A85"/>
    <w:rsid w:val="00DD7BE3"/>
    <w:rsid w:val="00DD7CD7"/>
    <w:rsid w:val="00DD7D8C"/>
    <w:rsid w:val="00DD7DBE"/>
    <w:rsid w:val="00DD7E2C"/>
    <w:rsid w:val="00DD7ED8"/>
    <w:rsid w:val="00DD7FF5"/>
    <w:rsid w:val="00DE0401"/>
    <w:rsid w:val="00DE0616"/>
    <w:rsid w:val="00DE0AAB"/>
    <w:rsid w:val="00DE0C2B"/>
    <w:rsid w:val="00DE1615"/>
    <w:rsid w:val="00DE1715"/>
    <w:rsid w:val="00DE19C4"/>
    <w:rsid w:val="00DE1D2C"/>
    <w:rsid w:val="00DE1D33"/>
    <w:rsid w:val="00DE20AE"/>
    <w:rsid w:val="00DE224C"/>
    <w:rsid w:val="00DE2449"/>
    <w:rsid w:val="00DE2531"/>
    <w:rsid w:val="00DE285A"/>
    <w:rsid w:val="00DE2B49"/>
    <w:rsid w:val="00DE2CD3"/>
    <w:rsid w:val="00DE388B"/>
    <w:rsid w:val="00DE3908"/>
    <w:rsid w:val="00DE394F"/>
    <w:rsid w:val="00DE3E0E"/>
    <w:rsid w:val="00DE4477"/>
    <w:rsid w:val="00DE454B"/>
    <w:rsid w:val="00DE4715"/>
    <w:rsid w:val="00DE4981"/>
    <w:rsid w:val="00DE49A8"/>
    <w:rsid w:val="00DE4C3D"/>
    <w:rsid w:val="00DE4F01"/>
    <w:rsid w:val="00DE4F4F"/>
    <w:rsid w:val="00DE509B"/>
    <w:rsid w:val="00DE52E6"/>
    <w:rsid w:val="00DE53EA"/>
    <w:rsid w:val="00DE5478"/>
    <w:rsid w:val="00DE571A"/>
    <w:rsid w:val="00DE5798"/>
    <w:rsid w:val="00DE5A83"/>
    <w:rsid w:val="00DE6240"/>
    <w:rsid w:val="00DE62D1"/>
    <w:rsid w:val="00DE689D"/>
    <w:rsid w:val="00DE6BB0"/>
    <w:rsid w:val="00DE6D0E"/>
    <w:rsid w:val="00DE6F83"/>
    <w:rsid w:val="00DE6F86"/>
    <w:rsid w:val="00DE703C"/>
    <w:rsid w:val="00DE724D"/>
    <w:rsid w:val="00DE7472"/>
    <w:rsid w:val="00DE74AC"/>
    <w:rsid w:val="00DE74E1"/>
    <w:rsid w:val="00DE7673"/>
    <w:rsid w:val="00DE7817"/>
    <w:rsid w:val="00DE79B5"/>
    <w:rsid w:val="00DE7A9F"/>
    <w:rsid w:val="00DE7B6D"/>
    <w:rsid w:val="00DE7B73"/>
    <w:rsid w:val="00DE7BB1"/>
    <w:rsid w:val="00DE7C68"/>
    <w:rsid w:val="00DE7E05"/>
    <w:rsid w:val="00DF008C"/>
    <w:rsid w:val="00DF01CA"/>
    <w:rsid w:val="00DF0290"/>
    <w:rsid w:val="00DF06FE"/>
    <w:rsid w:val="00DF0A9D"/>
    <w:rsid w:val="00DF0CEF"/>
    <w:rsid w:val="00DF0D77"/>
    <w:rsid w:val="00DF1173"/>
    <w:rsid w:val="00DF16E0"/>
    <w:rsid w:val="00DF1843"/>
    <w:rsid w:val="00DF1961"/>
    <w:rsid w:val="00DF19F1"/>
    <w:rsid w:val="00DF1B57"/>
    <w:rsid w:val="00DF1E1D"/>
    <w:rsid w:val="00DF20AE"/>
    <w:rsid w:val="00DF2238"/>
    <w:rsid w:val="00DF250A"/>
    <w:rsid w:val="00DF27FD"/>
    <w:rsid w:val="00DF2A99"/>
    <w:rsid w:val="00DF2C3E"/>
    <w:rsid w:val="00DF2F8F"/>
    <w:rsid w:val="00DF3198"/>
    <w:rsid w:val="00DF320F"/>
    <w:rsid w:val="00DF33D2"/>
    <w:rsid w:val="00DF351E"/>
    <w:rsid w:val="00DF3BD0"/>
    <w:rsid w:val="00DF3C7E"/>
    <w:rsid w:val="00DF414C"/>
    <w:rsid w:val="00DF45F3"/>
    <w:rsid w:val="00DF46CE"/>
    <w:rsid w:val="00DF4A55"/>
    <w:rsid w:val="00DF4B34"/>
    <w:rsid w:val="00DF4C2E"/>
    <w:rsid w:val="00DF4C35"/>
    <w:rsid w:val="00DF4D95"/>
    <w:rsid w:val="00DF5603"/>
    <w:rsid w:val="00DF5687"/>
    <w:rsid w:val="00DF59AC"/>
    <w:rsid w:val="00DF5A35"/>
    <w:rsid w:val="00DF5C7B"/>
    <w:rsid w:val="00DF5DD0"/>
    <w:rsid w:val="00DF5E0B"/>
    <w:rsid w:val="00DF60D4"/>
    <w:rsid w:val="00DF61C9"/>
    <w:rsid w:val="00DF6262"/>
    <w:rsid w:val="00DF62B0"/>
    <w:rsid w:val="00DF659C"/>
    <w:rsid w:val="00DF6635"/>
    <w:rsid w:val="00DF676D"/>
    <w:rsid w:val="00DF68D8"/>
    <w:rsid w:val="00DF6C82"/>
    <w:rsid w:val="00DF6D15"/>
    <w:rsid w:val="00DF6FC0"/>
    <w:rsid w:val="00DF73EF"/>
    <w:rsid w:val="00DF73FF"/>
    <w:rsid w:val="00DF75BE"/>
    <w:rsid w:val="00DF75F3"/>
    <w:rsid w:val="00DF7860"/>
    <w:rsid w:val="00DF788C"/>
    <w:rsid w:val="00DF7A20"/>
    <w:rsid w:val="00DF7C50"/>
    <w:rsid w:val="00DF7DB1"/>
    <w:rsid w:val="00E000FB"/>
    <w:rsid w:val="00E00139"/>
    <w:rsid w:val="00E003B0"/>
    <w:rsid w:val="00E007DF"/>
    <w:rsid w:val="00E00826"/>
    <w:rsid w:val="00E00E44"/>
    <w:rsid w:val="00E00EDC"/>
    <w:rsid w:val="00E01332"/>
    <w:rsid w:val="00E014E7"/>
    <w:rsid w:val="00E0153D"/>
    <w:rsid w:val="00E01EBB"/>
    <w:rsid w:val="00E02002"/>
    <w:rsid w:val="00E0215C"/>
    <w:rsid w:val="00E0219A"/>
    <w:rsid w:val="00E022D5"/>
    <w:rsid w:val="00E02575"/>
    <w:rsid w:val="00E02906"/>
    <w:rsid w:val="00E029A5"/>
    <w:rsid w:val="00E02A13"/>
    <w:rsid w:val="00E02A6F"/>
    <w:rsid w:val="00E0302B"/>
    <w:rsid w:val="00E03056"/>
    <w:rsid w:val="00E03259"/>
    <w:rsid w:val="00E033E9"/>
    <w:rsid w:val="00E039F4"/>
    <w:rsid w:val="00E03BF3"/>
    <w:rsid w:val="00E03C26"/>
    <w:rsid w:val="00E03EB8"/>
    <w:rsid w:val="00E03EE1"/>
    <w:rsid w:val="00E03FD8"/>
    <w:rsid w:val="00E041A7"/>
    <w:rsid w:val="00E04796"/>
    <w:rsid w:val="00E04A11"/>
    <w:rsid w:val="00E04A47"/>
    <w:rsid w:val="00E04BE0"/>
    <w:rsid w:val="00E04E04"/>
    <w:rsid w:val="00E04E9B"/>
    <w:rsid w:val="00E05201"/>
    <w:rsid w:val="00E0521F"/>
    <w:rsid w:val="00E0536D"/>
    <w:rsid w:val="00E05848"/>
    <w:rsid w:val="00E05B32"/>
    <w:rsid w:val="00E05DD4"/>
    <w:rsid w:val="00E05E66"/>
    <w:rsid w:val="00E065B6"/>
    <w:rsid w:val="00E068D8"/>
    <w:rsid w:val="00E069DB"/>
    <w:rsid w:val="00E06DF9"/>
    <w:rsid w:val="00E07241"/>
    <w:rsid w:val="00E072B3"/>
    <w:rsid w:val="00E0780F"/>
    <w:rsid w:val="00E07819"/>
    <w:rsid w:val="00E07A54"/>
    <w:rsid w:val="00E07B27"/>
    <w:rsid w:val="00E07BB9"/>
    <w:rsid w:val="00E07D26"/>
    <w:rsid w:val="00E07DF2"/>
    <w:rsid w:val="00E10058"/>
    <w:rsid w:val="00E10108"/>
    <w:rsid w:val="00E1033D"/>
    <w:rsid w:val="00E1041D"/>
    <w:rsid w:val="00E10856"/>
    <w:rsid w:val="00E108AE"/>
    <w:rsid w:val="00E10A19"/>
    <w:rsid w:val="00E10BC7"/>
    <w:rsid w:val="00E10C61"/>
    <w:rsid w:val="00E10D0E"/>
    <w:rsid w:val="00E10EF6"/>
    <w:rsid w:val="00E11071"/>
    <w:rsid w:val="00E116A9"/>
    <w:rsid w:val="00E11C01"/>
    <w:rsid w:val="00E11CF5"/>
    <w:rsid w:val="00E11D0F"/>
    <w:rsid w:val="00E11DBE"/>
    <w:rsid w:val="00E11F4B"/>
    <w:rsid w:val="00E12414"/>
    <w:rsid w:val="00E12691"/>
    <w:rsid w:val="00E12962"/>
    <w:rsid w:val="00E12C51"/>
    <w:rsid w:val="00E12E53"/>
    <w:rsid w:val="00E12FB5"/>
    <w:rsid w:val="00E1344F"/>
    <w:rsid w:val="00E134AE"/>
    <w:rsid w:val="00E139E7"/>
    <w:rsid w:val="00E13AA5"/>
    <w:rsid w:val="00E13E03"/>
    <w:rsid w:val="00E13EA9"/>
    <w:rsid w:val="00E14017"/>
    <w:rsid w:val="00E14140"/>
    <w:rsid w:val="00E1454A"/>
    <w:rsid w:val="00E14792"/>
    <w:rsid w:val="00E148A9"/>
    <w:rsid w:val="00E1498A"/>
    <w:rsid w:val="00E14B30"/>
    <w:rsid w:val="00E14C37"/>
    <w:rsid w:val="00E14C82"/>
    <w:rsid w:val="00E14E7F"/>
    <w:rsid w:val="00E15206"/>
    <w:rsid w:val="00E15227"/>
    <w:rsid w:val="00E1524D"/>
    <w:rsid w:val="00E1563F"/>
    <w:rsid w:val="00E1570A"/>
    <w:rsid w:val="00E15BED"/>
    <w:rsid w:val="00E16123"/>
    <w:rsid w:val="00E1680F"/>
    <w:rsid w:val="00E16AD8"/>
    <w:rsid w:val="00E16ADD"/>
    <w:rsid w:val="00E16AFC"/>
    <w:rsid w:val="00E16BA8"/>
    <w:rsid w:val="00E16C5F"/>
    <w:rsid w:val="00E16D0F"/>
    <w:rsid w:val="00E17066"/>
    <w:rsid w:val="00E170A7"/>
    <w:rsid w:val="00E172F6"/>
    <w:rsid w:val="00E1738C"/>
    <w:rsid w:val="00E1761B"/>
    <w:rsid w:val="00E17651"/>
    <w:rsid w:val="00E17C44"/>
    <w:rsid w:val="00E17CF9"/>
    <w:rsid w:val="00E201C1"/>
    <w:rsid w:val="00E20427"/>
    <w:rsid w:val="00E20475"/>
    <w:rsid w:val="00E20501"/>
    <w:rsid w:val="00E205B6"/>
    <w:rsid w:val="00E20645"/>
    <w:rsid w:val="00E211EC"/>
    <w:rsid w:val="00E2127E"/>
    <w:rsid w:val="00E21407"/>
    <w:rsid w:val="00E2142D"/>
    <w:rsid w:val="00E21691"/>
    <w:rsid w:val="00E21980"/>
    <w:rsid w:val="00E21C41"/>
    <w:rsid w:val="00E21FD4"/>
    <w:rsid w:val="00E22162"/>
    <w:rsid w:val="00E22191"/>
    <w:rsid w:val="00E2232A"/>
    <w:rsid w:val="00E22429"/>
    <w:rsid w:val="00E22956"/>
    <w:rsid w:val="00E22A07"/>
    <w:rsid w:val="00E22C51"/>
    <w:rsid w:val="00E22F9E"/>
    <w:rsid w:val="00E23226"/>
    <w:rsid w:val="00E235A0"/>
    <w:rsid w:val="00E23ED4"/>
    <w:rsid w:val="00E241C1"/>
    <w:rsid w:val="00E249C4"/>
    <w:rsid w:val="00E24AFC"/>
    <w:rsid w:val="00E24ED9"/>
    <w:rsid w:val="00E24FC2"/>
    <w:rsid w:val="00E24FF1"/>
    <w:rsid w:val="00E25AF3"/>
    <w:rsid w:val="00E25DAC"/>
    <w:rsid w:val="00E26662"/>
    <w:rsid w:val="00E26D6F"/>
    <w:rsid w:val="00E26EEF"/>
    <w:rsid w:val="00E27042"/>
    <w:rsid w:val="00E2729C"/>
    <w:rsid w:val="00E2738C"/>
    <w:rsid w:val="00E278E1"/>
    <w:rsid w:val="00E278F2"/>
    <w:rsid w:val="00E27B0F"/>
    <w:rsid w:val="00E27C80"/>
    <w:rsid w:val="00E300CB"/>
    <w:rsid w:val="00E30199"/>
    <w:rsid w:val="00E3022E"/>
    <w:rsid w:val="00E30369"/>
    <w:rsid w:val="00E3051C"/>
    <w:rsid w:val="00E30B61"/>
    <w:rsid w:val="00E30B89"/>
    <w:rsid w:val="00E30E0D"/>
    <w:rsid w:val="00E310BB"/>
    <w:rsid w:val="00E31292"/>
    <w:rsid w:val="00E312B1"/>
    <w:rsid w:val="00E3162B"/>
    <w:rsid w:val="00E316DF"/>
    <w:rsid w:val="00E318CD"/>
    <w:rsid w:val="00E31B81"/>
    <w:rsid w:val="00E32087"/>
    <w:rsid w:val="00E323C6"/>
    <w:rsid w:val="00E326A3"/>
    <w:rsid w:val="00E32858"/>
    <w:rsid w:val="00E32CE7"/>
    <w:rsid w:val="00E32E78"/>
    <w:rsid w:val="00E32F4A"/>
    <w:rsid w:val="00E3323B"/>
    <w:rsid w:val="00E3354C"/>
    <w:rsid w:val="00E335B3"/>
    <w:rsid w:val="00E335B6"/>
    <w:rsid w:val="00E33BE0"/>
    <w:rsid w:val="00E34348"/>
    <w:rsid w:val="00E344B9"/>
    <w:rsid w:val="00E34B74"/>
    <w:rsid w:val="00E34E87"/>
    <w:rsid w:val="00E35397"/>
    <w:rsid w:val="00E35488"/>
    <w:rsid w:val="00E35AF1"/>
    <w:rsid w:val="00E35AF3"/>
    <w:rsid w:val="00E35CA7"/>
    <w:rsid w:val="00E35DE9"/>
    <w:rsid w:val="00E3620D"/>
    <w:rsid w:val="00E36222"/>
    <w:rsid w:val="00E36350"/>
    <w:rsid w:val="00E364DA"/>
    <w:rsid w:val="00E36624"/>
    <w:rsid w:val="00E36E88"/>
    <w:rsid w:val="00E37086"/>
    <w:rsid w:val="00E37505"/>
    <w:rsid w:val="00E3755C"/>
    <w:rsid w:val="00E3772C"/>
    <w:rsid w:val="00E37D1F"/>
    <w:rsid w:val="00E400B3"/>
    <w:rsid w:val="00E403DD"/>
    <w:rsid w:val="00E40508"/>
    <w:rsid w:val="00E4058C"/>
    <w:rsid w:val="00E40611"/>
    <w:rsid w:val="00E40CE6"/>
    <w:rsid w:val="00E40EC4"/>
    <w:rsid w:val="00E40F9B"/>
    <w:rsid w:val="00E412F8"/>
    <w:rsid w:val="00E412F9"/>
    <w:rsid w:val="00E41637"/>
    <w:rsid w:val="00E419D1"/>
    <w:rsid w:val="00E41BEE"/>
    <w:rsid w:val="00E41D0C"/>
    <w:rsid w:val="00E41D79"/>
    <w:rsid w:val="00E41DAB"/>
    <w:rsid w:val="00E42184"/>
    <w:rsid w:val="00E422F1"/>
    <w:rsid w:val="00E42575"/>
    <w:rsid w:val="00E42756"/>
    <w:rsid w:val="00E4294B"/>
    <w:rsid w:val="00E42C0A"/>
    <w:rsid w:val="00E432F8"/>
    <w:rsid w:val="00E43505"/>
    <w:rsid w:val="00E4386F"/>
    <w:rsid w:val="00E43B5B"/>
    <w:rsid w:val="00E43D5C"/>
    <w:rsid w:val="00E43F7C"/>
    <w:rsid w:val="00E44130"/>
    <w:rsid w:val="00E4427D"/>
    <w:rsid w:val="00E4448E"/>
    <w:rsid w:val="00E445B5"/>
    <w:rsid w:val="00E44898"/>
    <w:rsid w:val="00E44EE4"/>
    <w:rsid w:val="00E44F1F"/>
    <w:rsid w:val="00E45262"/>
    <w:rsid w:val="00E459E3"/>
    <w:rsid w:val="00E45A8F"/>
    <w:rsid w:val="00E46138"/>
    <w:rsid w:val="00E46311"/>
    <w:rsid w:val="00E4678E"/>
    <w:rsid w:val="00E46A46"/>
    <w:rsid w:val="00E46D49"/>
    <w:rsid w:val="00E46D6C"/>
    <w:rsid w:val="00E46DA6"/>
    <w:rsid w:val="00E46F67"/>
    <w:rsid w:val="00E4703F"/>
    <w:rsid w:val="00E4736E"/>
    <w:rsid w:val="00E47464"/>
    <w:rsid w:val="00E47467"/>
    <w:rsid w:val="00E47627"/>
    <w:rsid w:val="00E4799F"/>
    <w:rsid w:val="00E501BF"/>
    <w:rsid w:val="00E50431"/>
    <w:rsid w:val="00E504C9"/>
    <w:rsid w:val="00E50584"/>
    <w:rsid w:val="00E506FE"/>
    <w:rsid w:val="00E50B20"/>
    <w:rsid w:val="00E50CD8"/>
    <w:rsid w:val="00E50D70"/>
    <w:rsid w:val="00E50E74"/>
    <w:rsid w:val="00E50F1E"/>
    <w:rsid w:val="00E50F97"/>
    <w:rsid w:val="00E51162"/>
    <w:rsid w:val="00E519E4"/>
    <w:rsid w:val="00E51C01"/>
    <w:rsid w:val="00E51D99"/>
    <w:rsid w:val="00E51F1F"/>
    <w:rsid w:val="00E51F7A"/>
    <w:rsid w:val="00E52226"/>
    <w:rsid w:val="00E5241C"/>
    <w:rsid w:val="00E52782"/>
    <w:rsid w:val="00E52989"/>
    <w:rsid w:val="00E53285"/>
    <w:rsid w:val="00E5353D"/>
    <w:rsid w:val="00E5368C"/>
    <w:rsid w:val="00E536B2"/>
    <w:rsid w:val="00E53714"/>
    <w:rsid w:val="00E53785"/>
    <w:rsid w:val="00E53977"/>
    <w:rsid w:val="00E53AA1"/>
    <w:rsid w:val="00E53AFB"/>
    <w:rsid w:val="00E53C10"/>
    <w:rsid w:val="00E53F22"/>
    <w:rsid w:val="00E5406F"/>
    <w:rsid w:val="00E54150"/>
    <w:rsid w:val="00E541B6"/>
    <w:rsid w:val="00E54412"/>
    <w:rsid w:val="00E545FC"/>
    <w:rsid w:val="00E54BB2"/>
    <w:rsid w:val="00E54BF3"/>
    <w:rsid w:val="00E54C35"/>
    <w:rsid w:val="00E55285"/>
    <w:rsid w:val="00E554CB"/>
    <w:rsid w:val="00E55E8E"/>
    <w:rsid w:val="00E5601C"/>
    <w:rsid w:val="00E562BD"/>
    <w:rsid w:val="00E56313"/>
    <w:rsid w:val="00E56742"/>
    <w:rsid w:val="00E567D3"/>
    <w:rsid w:val="00E569D4"/>
    <w:rsid w:val="00E56A1D"/>
    <w:rsid w:val="00E56AF9"/>
    <w:rsid w:val="00E56F15"/>
    <w:rsid w:val="00E5720A"/>
    <w:rsid w:val="00E57476"/>
    <w:rsid w:val="00E577D9"/>
    <w:rsid w:val="00E57D7F"/>
    <w:rsid w:val="00E57EE8"/>
    <w:rsid w:val="00E57F67"/>
    <w:rsid w:val="00E60421"/>
    <w:rsid w:val="00E604C3"/>
    <w:rsid w:val="00E60A4C"/>
    <w:rsid w:val="00E60AD2"/>
    <w:rsid w:val="00E60DA5"/>
    <w:rsid w:val="00E60FD7"/>
    <w:rsid w:val="00E60FE3"/>
    <w:rsid w:val="00E611C8"/>
    <w:rsid w:val="00E61392"/>
    <w:rsid w:val="00E616AA"/>
    <w:rsid w:val="00E616E6"/>
    <w:rsid w:val="00E61748"/>
    <w:rsid w:val="00E61759"/>
    <w:rsid w:val="00E61A81"/>
    <w:rsid w:val="00E61AD2"/>
    <w:rsid w:val="00E61C22"/>
    <w:rsid w:val="00E61ECE"/>
    <w:rsid w:val="00E61F60"/>
    <w:rsid w:val="00E620FC"/>
    <w:rsid w:val="00E6228A"/>
    <w:rsid w:val="00E62413"/>
    <w:rsid w:val="00E62800"/>
    <w:rsid w:val="00E62B8C"/>
    <w:rsid w:val="00E62BC8"/>
    <w:rsid w:val="00E62C66"/>
    <w:rsid w:val="00E62E69"/>
    <w:rsid w:val="00E63087"/>
    <w:rsid w:val="00E63265"/>
    <w:rsid w:val="00E6376D"/>
    <w:rsid w:val="00E63784"/>
    <w:rsid w:val="00E63D38"/>
    <w:rsid w:val="00E63D3A"/>
    <w:rsid w:val="00E64269"/>
    <w:rsid w:val="00E643EC"/>
    <w:rsid w:val="00E64E67"/>
    <w:rsid w:val="00E651E4"/>
    <w:rsid w:val="00E658F2"/>
    <w:rsid w:val="00E65C01"/>
    <w:rsid w:val="00E65DC5"/>
    <w:rsid w:val="00E660C7"/>
    <w:rsid w:val="00E6694B"/>
    <w:rsid w:val="00E66A93"/>
    <w:rsid w:val="00E66B9F"/>
    <w:rsid w:val="00E6702C"/>
    <w:rsid w:val="00E672AC"/>
    <w:rsid w:val="00E6774E"/>
    <w:rsid w:val="00E677D0"/>
    <w:rsid w:val="00E679E2"/>
    <w:rsid w:val="00E67D59"/>
    <w:rsid w:val="00E70221"/>
    <w:rsid w:val="00E70386"/>
    <w:rsid w:val="00E70399"/>
    <w:rsid w:val="00E70DD3"/>
    <w:rsid w:val="00E70F8F"/>
    <w:rsid w:val="00E710E5"/>
    <w:rsid w:val="00E71231"/>
    <w:rsid w:val="00E715E5"/>
    <w:rsid w:val="00E71675"/>
    <w:rsid w:val="00E71879"/>
    <w:rsid w:val="00E719E9"/>
    <w:rsid w:val="00E71A85"/>
    <w:rsid w:val="00E71CBF"/>
    <w:rsid w:val="00E71D81"/>
    <w:rsid w:val="00E72195"/>
    <w:rsid w:val="00E72489"/>
    <w:rsid w:val="00E7266B"/>
    <w:rsid w:val="00E727C6"/>
    <w:rsid w:val="00E72938"/>
    <w:rsid w:val="00E72B92"/>
    <w:rsid w:val="00E72FF9"/>
    <w:rsid w:val="00E730E7"/>
    <w:rsid w:val="00E73164"/>
    <w:rsid w:val="00E73199"/>
    <w:rsid w:val="00E7337C"/>
    <w:rsid w:val="00E740F4"/>
    <w:rsid w:val="00E74387"/>
    <w:rsid w:val="00E74393"/>
    <w:rsid w:val="00E747C4"/>
    <w:rsid w:val="00E74964"/>
    <w:rsid w:val="00E74D8A"/>
    <w:rsid w:val="00E74FE7"/>
    <w:rsid w:val="00E751D9"/>
    <w:rsid w:val="00E75560"/>
    <w:rsid w:val="00E7587C"/>
    <w:rsid w:val="00E76004"/>
    <w:rsid w:val="00E76015"/>
    <w:rsid w:val="00E760FA"/>
    <w:rsid w:val="00E76501"/>
    <w:rsid w:val="00E76523"/>
    <w:rsid w:val="00E7673B"/>
    <w:rsid w:val="00E76BE6"/>
    <w:rsid w:val="00E77281"/>
    <w:rsid w:val="00E775AE"/>
    <w:rsid w:val="00E776DB"/>
    <w:rsid w:val="00E77716"/>
    <w:rsid w:val="00E778B2"/>
    <w:rsid w:val="00E77918"/>
    <w:rsid w:val="00E77A6C"/>
    <w:rsid w:val="00E77D44"/>
    <w:rsid w:val="00E80078"/>
    <w:rsid w:val="00E80217"/>
    <w:rsid w:val="00E80DF1"/>
    <w:rsid w:val="00E80DF7"/>
    <w:rsid w:val="00E81190"/>
    <w:rsid w:val="00E81243"/>
    <w:rsid w:val="00E8126B"/>
    <w:rsid w:val="00E81771"/>
    <w:rsid w:val="00E81975"/>
    <w:rsid w:val="00E81A8F"/>
    <w:rsid w:val="00E81BE7"/>
    <w:rsid w:val="00E82072"/>
    <w:rsid w:val="00E822B2"/>
    <w:rsid w:val="00E82419"/>
    <w:rsid w:val="00E82587"/>
    <w:rsid w:val="00E82784"/>
    <w:rsid w:val="00E82950"/>
    <w:rsid w:val="00E82D83"/>
    <w:rsid w:val="00E830DF"/>
    <w:rsid w:val="00E8314A"/>
    <w:rsid w:val="00E83315"/>
    <w:rsid w:val="00E83404"/>
    <w:rsid w:val="00E83749"/>
    <w:rsid w:val="00E83A39"/>
    <w:rsid w:val="00E83B2D"/>
    <w:rsid w:val="00E83D45"/>
    <w:rsid w:val="00E840AC"/>
    <w:rsid w:val="00E84309"/>
    <w:rsid w:val="00E843C6"/>
    <w:rsid w:val="00E84618"/>
    <w:rsid w:val="00E846E6"/>
    <w:rsid w:val="00E84DF2"/>
    <w:rsid w:val="00E85106"/>
    <w:rsid w:val="00E8517C"/>
    <w:rsid w:val="00E85477"/>
    <w:rsid w:val="00E85585"/>
    <w:rsid w:val="00E85721"/>
    <w:rsid w:val="00E85802"/>
    <w:rsid w:val="00E858A9"/>
    <w:rsid w:val="00E85904"/>
    <w:rsid w:val="00E85D7F"/>
    <w:rsid w:val="00E85E1D"/>
    <w:rsid w:val="00E85F26"/>
    <w:rsid w:val="00E85FBC"/>
    <w:rsid w:val="00E8601D"/>
    <w:rsid w:val="00E86222"/>
    <w:rsid w:val="00E86682"/>
    <w:rsid w:val="00E868FC"/>
    <w:rsid w:val="00E86E7F"/>
    <w:rsid w:val="00E86EC0"/>
    <w:rsid w:val="00E86F93"/>
    <w:rsid w:val="00E87BE6"/>
    <w:rsid w:val="00E87DCE"/>
    <w:rsid w:val="00E9024D"/>
    <w:rsid w:val="00E90357"/>
    <w:rsid w:val="00E906DA"/>
    <w:rsid w:val="00E90763"/>
    <w:rsid w:val="00E907AF"/>
    <w:rsid w:val="00E90822"/>
    <w:rsid w:val="00E90DFE"/>
    <w:rsid w:val="00E90F63"/>
    <w:rsid w:val="00E910F3"/>
    <w:rsid w:val="00E9122F"/>
    <w:rsid w:val="00E918C9"/>
    <w:rsid w:val="00E91BEA"/>
    <w:rsid w:val="00E91F0B"/>
    <w:rsid w:val="00E91F92"/>
    <w:rsid w:val="00E92359"/>
    <w:rsid w:val="00E924E7"/>
    <w:rsid w:val="00E92B0C"/>
    <w:rsid w:val="00E92B1F"/>
    <w:rsid w:val="00E93182"/>
    <w:rsid w:val="00E93235"/>
    <w:rsid w:val="00E934D5"/>
    <w:rsid w:val="00E93905"/>
    <w:rsid w:val="00E9417F"/>
    <w:rsid w:val="00E9441B"/>
    <w:rsid w:val="00E9449D"/>
    <w:rsid w:val="00E94529"/>
    <w:rsid w:val="00E946B0"/>
    <w:rsid w:val="00E9495F"/>
    <w:rsid w:val="00E94AA8"/>
    <w:rsid w:val="00E94B14"/>
    <w:rsid w:val="00E94B49"/>
    <w:rsid w:val="00E94B4F"/>
    <w:rsid w:val="00E95258"/>
    <w:rsid w:val="00E95336"/>
    <w:rsid w:val="00E953AA"/>
    <w:rsid w:val="00E95D60"/>
    <w:rsid w:val="00E95D78"/>
    <w:rsid w:val="00E95E71"/>
    <w:rsid w:val="00E961B6"/>
    <w:rsid w:val="00E962A6"/>
    <w:rsid w:val="00E96455"/>
    <w:rsid w:val="00E96554"/>
    <w:rsid w:val="00E96872"/>
    <w:rsid w:val="00E968EB"/>
    <w:rsid w:val="00E96D12"/>
    <w:rsid w:val="00E96D41"/>
    <w:rsid w:val="00E96DCB"/>
    <w:rsid w:val="00E96EF9"/>
    <w:rsid w:val="00E97070"/>
    <w:rsid w:val="00E973DF"/>
    <w:rsid w:val="00E97564"/>
    <w:rsid w:val="00E9769E"/>
    <w:rsid w:val="00E9796B"/>
    <w:rsid w:val="00E97AC3"/>
    <w:rsid w:val="00E97B39"/>
    <w:rsid w:val="00E97CB4"/>
    <w:rsid w:val="00EA0063"/>
    <w:rsid w:val="00EA0104"/>
    <w:rsid w:val="00EA024A"/>
    <w:rsid w:val="00EA045A"/>
    <w:rsid w:val="00EA0477"/>
    <w:rsid w:val="00EA06D5"/>
    <w:rsid w:val="00EA0CEB"/>
    <w:rsid w:val="00EA0E5D"/>
    <w:rsid w:val="00EA0F3E"/>
    <w:rsid w:val="00EA1181"/>
    <w:rsid w:val="00EA1A55"/>
    <w:rsid w:val="00EA1DF1"/>
    <w:rsid w:val="00EA20F6"/>
    <w:rsid w:val="00EA22FF"/>
    <w:rsid w:val="00EA232C"/>
    <w:rsid w:val="00EA2413"/>
    <w:rsid w:val="00EA2431"/>
    <w:rsid w:val="00EA248E"/>
    <w:rsid w:val="00EA252E"/>
    <w:rsid w:val="00EA2A01"/>
    <w:rsid w:val="00EA2A9E"/>
    <w:rsid w:val="00EA2BF0"/>
    <w:rsid w:val="00EA3300"/>
    <w:rsid w:val="00EA346B"/>
    <w:rsid w:val="00EA35EA"/>
    <w:rsid w:val="00EA373E"/>
    <w:rsid w:val="00EA3795"/>
    <w:rsid w:val="00EA387B"/>
    <w:rsid w:val="00EA38BE"/>
    <w:rsid w:val="00EA3BB3"/>
    <w:rsid w:val="00EA3C80"/>
    <w:rsid w:val="00EA437C"/>
    <w:rsid w:val="00EA447A"/>
    <w:rsid w:val="00EA4C2F"/>
    <w:rsid w:val="00EA4F4F"/>
    <w:rsid w:val="00EA5090"/>
    <w:rsid w:val="00EA5150"/>
    <w:rsid w:val="00EA5325"/>
    <w:rsid w:val="00EA5343"/>
    <w:rsid w:val="00EA54D8"/>
    <w:rsid w:val="00EA5BC5"/>
    <w:rsid w:val="00EA635C"/>
    <w:rsid w:val="00EA654D"/>
    <w:rsid w:val="00EA68F9"/>
    <w:rsid w:val="00EA6C32"/>
    <w:rsid w:val="00EA6F32"/>
    <w:rsid w:val="00EA722A"/>
    <w:rsid w:val="00EA7582"/>
    <w:rsid w:val="00EA75CF"/>
    <w:rsid w:val="00EA7753"/>
    <w:rsid w:val="00EA78B4"/>
    <w:rsid w:val="00EA7BC0"/>
    <w:rsid w:val="00EA7CAE"/>
    <w:rsid w:val="00EA7D81"/>
    <w:rsid w:val="00EB086A"/>
    <w:rsid w:val="00EB0C1D"/>
    <w:rsid w:val="00EB0D04"/>
    <w:rsid w:val="00EB0D5B"/>
    <w:rsid w:val="00EB0D91"/>
    <w:rsid w:val="00EB0E06"/>
    <w:rsid w:val="00EB0E27"/>
    <w:rsid w:val="00EB0EDF"/>
    <w:rsid w:val="00EB0FE9"/>
    <w:rsid w:val="00EB119B"/>
    <w:rsid w:val="00EB13AD"/>
    <w:rsid w:val="00EB13E1"/>
    <w:rsid w:val="00EB1401"/>
    <w:rsid w:val="00EB18DA"/>
    <w:rsid w:val="00EB1C5C"/>
    <w:rsid w:val="00EB1CC9"/>
    <w:rsid w:val="00EB20A1"/>
    <w:rsid w:val="00EB262B"/>
    <w:rsid w:val="00EB2858"/>
    <w:rsid w:val="00EB28F4"/>
    <w:rsid w:val="00EB2A03"/>
    <w:rsid w:val="00EB2A37"/>
    <w:rsid w:val="00EB2A85"/>
    <w:rsid w:val="00EB2CEC"/>
    <w:rsid w:val="00EB2EBB"/>
    <w:rsid w:val="00EB31F0"/>
    <w:rsid w:val="00EB32DF"/>
    <w:rsid w:val="00EB3415"/>
    <w:rsid w:val="00EB342B"/>
    <w:rsid w:val="00EB367D"/>
    <w:rsid w:val="00EB3DB9"/>
    <w:rsid w:val="00EB408A"/>
    <w:rsid w:val="00EB42DD"/>
    <w:rsid w:val="00EB44C3"/>
    <w:rsid w:val="00EB458C"/>
    <w:rsid w:val="00EB49A5"/>
    <w:rsid w:val="00EB4F09"/>
    <w:rsid w:val="00EB4F48"/>
    <w:rsid w:val="00EB4F99"/>
    <w:rsid w:val="00EB54AE"/>
    <w:rsid w:val="00EB54D3"/>
    <w:rsid w:val="00EB5684"/>
    <w:rsid w:val="00EB5696"/>
    <w:rsid w:val="00EB5802"/>
    <w:rsid w:val="00EB5BE8"/>
    <w:rsid w:val="00EB61BC"/>
    <w:rsid w:val="00EB6815"/>
    <w:rsid w:val="00EB6F06"/>
    <w:rsid w:val="00EB6F18"/>
    <w:rsid w:val="00EB72AA"/>
    <w:rsid w:val="00EB73C0"/>
    <w:rsid w:val="00EB788E"/>
    <w:rsid w:val="00EC02A4"/>
    <w:rsid w:val="00EC04CF"/>
    <w:rsid w:val="00EC09DD"/>
    <w:rsid w:val="00EC0D4B"/>
    <w:rsid w:val="00EC11A6"/>
    <w:rsid w:val="00EC11DE"/>
    <w:rsid w:val="00EC1381"/>
    <w:rsid w:val="00EC142F"/>
    <w:rsid w:val="00EC16EC"/>
    <w:rsid w:val="00EC1721"/>
    <w:rsid w:val="00EC183E"/>
    <w:rsid w:val="00EC1904"/>
    <w:rsid w:val="00EC1DFE"/>
    <w:rsid w:val="00EC1EB7"/>
    <w:rsid w:val="00EC3232"/>
    <w:rsid w:val="00EC3416"/>
    <w:rsid w:val="00EC3468"/>
    <w:rsid w:val="00EC37E5"/>
    <w:rsid w:val="00EC39A6"/>
    <w:rsid w:val="00EC3A47"/>
    <w:rsid w:val="00EC3A9D"/>
    <w:rsid w:val="00EC3CDF"/>
    <w:rsid w:val="00EC4520"/>
    <w:rsid w:val="00EC4694"/>
    <w:rsid w:val="00EC4712"/>
    <w:rsid w:val="00EC48DF"/>
    <w:rsid w:val="00EC4D68"/>
    <w:rsid w:val="00EC536B"/>
    <w:rsid w:val="00EC5452"/>
    <w:rsid w:val="00EC5AF5"/>
    <w:rsid w:val="00EC5B0A"/>
    <w:rsid w:val="00EC5C6D"/>
    <w:rsid w:val="00EC60D7"/>
    <w:rsid w:val="00EC61D7"/>
    <w:rsid w:val="00EC6268"/>
    <w:rsid w:val="00EC62F2"/>
    <w:rsid w:val="00EC6455"/>
    <w:rsid w:val="00EC6498"/>
    <w:rsid w:val="00EC66FA"/>
    <w:rsid w:val="00EC7197"/>
    <w:rsid w:val="00EC765F"/>
    <w:rsid w:val="00EC774D"/>
    <w:rsid w:val="00EC775E"/>
    <w:rsid w:val="00EC7A12"/>
    <w:rsid w:val="00EC7B3B"/>
    <w:rsid w:val="00EC7BB6"/>
    <w:rsid w:val="00ED0347"/>
    <w:rsid w:val="00ED0349"/>
    <w:rsid w:val="00ED0B4F"/>
    <w:rsid w:val="00ED13D3"/>
    <w:rsid w:val="00ED18F1"/>
    <w:rsid w:val="00ED18FE"/>
    <w:rsid w:val="00ED19CC"/>
    <w:rsid w:val="00ED1C61"/>
    <w:rsid w:val="00ED1F90"/>
    <w:rsid w:val="00ED259E"/>
    <w:rsid w:val="00ED28BA"/>
    <w:rsid w:val="00ED2ECF"/>
    <w:rsid w:val="00ED3006"/>
    <w:rsid w:val="00ED3082"/>
    <w:rsid w:val="00ED31FA"/>
    <w:rsid w:val="00ED3452"/>
    <w:rsid w:val="00ED34CA"/>
    <w:rsid w:val="00ED386F"/>
    <w:rsid w:val="00ED39EC"/>
    <w:rsid w:val="00ED39EE"/>
    <w:rsid w:val="00ED3A57"/>
    <w:rsid w:val="00ED3B17"/>
    <w:rsid w:val="00ED3B38"/>
    <w:rsid w:val="00ED3BE3"/>
    <w:rsid w:val="00ED3E5E"/>
    <w:rsid w:val="00ED3F18"/>
    <w:rsid w:val="00ED410B"/>
    <w:rsid w:val="00ED4123"/>
    <w:rsid w:val="00ED4418"/>
    <w:rsid w:val="00ED4793"/>
    <w:rsid w:val="00ED48E5"/>
    <w:rsid w:val="00ED4C38"/>
    <w:rsid w:val="00ED4EF6"/>
    <w:rsid w:val="00ED50DE"/>
    <w:rsid w:val="00ED54B8"/>
    <w:rsid w:val="00ED554A"/>
    <w:rsid w:val="00ED588A"/>
    <w:rsid w:val="00ED58F2"/>
    <w:rsid w:val="00ED5EDC"/>
    <w:rsid w:val="00ED5EFD"/>
    <w:rsid w:val="00ED5F23"/>
    <w:rsid w:val="00ED5FFF"/>
    <w:rsid w:val="00ED6055"/>
    <w:rsid w:val="00ED6395"/>
    <w:rsid w:val="00ED64C9"/>
    <w:rsid w:val="00ED64FE"/>
    <w:rsid w:val="00ED65AA"/>
    <w:rsid w:val="00ED683A"/>
    <w:rsid w:val="00ED69B2"/>
    <w:rsid w:val="00ED69D2"/>
    <w:rsid w:val="00ED6D9F"/>
    <w:rsid w:val="00ED6F4A"/>
    <w:rsid w:val="00ED6FF5"/>
    <w:rsid w:val="00ED71E6"/>
    <w:rsid w:val="00ED72DE"/>
    <w:rsid w:val="00ED74BA"/>
    <w:rsid w:val="00ED7600"/>
    <w:rsid w:val="00ED76B8"/>
    <w:rsid w:val="00ED7BDA"/>
    <w:rsid w:val="00ED7E83"/>
    <w:rsid w:val="00EE057C"/>
    <w:rsid w:val="00EE08B7"/>
    <w:rsid w:val="00EE08BF"/>
    <w:rsid w:val="00EE0F52"/>
    <w:rsid w:val="00EE0F72"/>
    <w:rsid w:val="00EE1878"/>
    <w:rsid w:val="00EE1FE3"/>
    <w:rsid w:val="00EE2A47"/>
    <w:rsid w:val="00EE2A81"/>
    <w:rsid w:val="00EE2AE6"/>
    <w:rsid w:val="00EE2B45"/>
    <w:rsid w:val="00EE2BD5"/>
    <w:rsid w:val="00EE2E7A"/>
    <w:rsid w:val="00EE3110"/>
    <w:rsid w:val="00EE364E"/>
    <w:rsid w:val="00EE3721"/>
    <w:rsid w:val="00EE3AD8"/>
    <w:rsid w:val="00EE3B75"/>
    <w:rsid w:val="00EE3B7B"/>
    <w:rsid w:val="00EE435C"/>
    <w:rsid w:val="00EE444E"/>
    <w:rsid w:val="00EE472B"/>
    <w:rsid w:val="00EE47E1"/>
    <w:rsid w:val="00EE480D"/>
    <w:rsid w:val="00EE4B11"/>
    <w:rsid w:val="00EE4B72"/>
    <w:rsid w:val="00EE4C0B"/>
    <w:rsid w:val="00EE4EF5"/>
    <w:rsid w:val="00EE5015"/>
    <w:rsid w:val="00EE510F"/>
    <w:rsid w:val="00EE5144"/>
    <w:rsid w:val="00EE58AB"/>
    <w:rsid w:val="00EE5E13"/>
    <w:rsid w:val="00EE6870"/>
    <w:rsid w:val="00EE6A8E"/>
    <w:rsid w:val="00EE6ECB"/>
    <w:rsid w:val="00EE6F71"/>
    <w:rsid w:val="00EE708F"/>
    <w:rsid w:val="00EE726B"/>
    <w:rsid w:val="00EE7D56"/>
    <w:rsid w:val="00EE7EC7"/>
    <w:rsid w:val="00EF0071"/>
    <w:rsid w:val="00EF050B"/>
    <w:rsid w:val="00EF091C"/>
    <w:rsid w:val="00EF0B94"/>
    <w:rsid w:val="00EF0BB8"/>
    <w:rsid w:val="00EF0BC2"/>
    <w:rsid w:val="00EF0C29"/>
    <w:rsid w:val="00EF10A7"/>
    <w:rsid w:val="00EF1AE6"/>
    <w:rsid w:val="00EF1CE4"/>
    <w:rsid w:val="00EF1D24"/>
    <w:rsid w:val="00EF1D4E"/>
    <w:rsid w:val="00EF1EC3"/>
    <w:rsid w:val="00EF2030"/>
    <w:rsid w:val="00EF2350"/>
    <w:rsid w:val="00EF2489"/>
    <w:rsid w:val="00EF25B9"/>
    <w:rsid w:val="00EF2660"/>
    <w:rsid w:val="00EF267F"/>
    <w:rsid w:val="00EF2713"/>
    <w:rsid w:val="00EF29C8"/>
    <w:rsid w:val="00EF2B59"/>
    <w:rsid w:val="00EF2CEE"/>
    <w:rsid w:val="00EF310C"/>
    <w:rsid w:val="00EF3428"/>
    <w:rsid w:val="00EF3A28"/>
    <w:rsid w:val="00EF3CB4"/>
    <w:rsid w:val="00EF4105"/>
    <w:rsid w:val="00EF445D"/>
    <w:rsid w:val="00EF481C"/>
    <w:rsid w:val="00EF4933"/>
    <w:rsid w:val="00EF4C8A"/>
    <w:rsid w:val="00EF4FB1"/>
    <w:rsid w:val="00EF53A7"/>
    <w:rsid w:val="00EF5455"/>
    <w:rsid w:val="00EF5FFD"/>
    <w:rsid w:val="00EF61DE"/>
    <w:rsid w:val="00EF6386"/>
    <w:rsid w:val="00EF63DF"/>
    <w:rsid w:val="00EF6448"/>
    <w:rsid w:val="00EF650E"/>
    <w:rsid w:val="00EF66CF"/>
    <w:rsid w:val="00EF6961"/>
    <w:rsid w:val="00EF6BBF"/>
    <w:rsid w:val="00EF6D3D"/>
    <w:rsid w:val="00EF7166"/>
    <w:rsid w:val="00EF7273"/>
    <w:rsid w:val="00EF7320"/>
    <w:rsid w:val="00EF766B"/>
    <w:rsid w:val="00EF7754"/>
    <w:rsid w:val="00EF7847"/>
    <w:rsid w:val="00EF7D21"/>
    <w:rsid w:val="00F000A9"/>
    <w:rsid w:val="00F0020B"/>
    <w:rsid w:val="00F004F1"/>
    <w:rsid w:val="00F00519"/>
    <w:rsid w:val="00F00920"/>
    <w:rsid w:val="00F00A08"/>
    <w:rsid w:val="00F00A63"/>
    <w:rsid w:val="00F00D04"/>
    <w:rsid w:val="00F00DA9"/>
    <w:rsid w:val="00F00F86"/>
    <w:rsid w:val="00F01183"/>
    <w:rsid w:val="00F012BB"/>
    <w:rsid w:val="00F012DD"/>
    <w:rsid w:val="00F0136F"/>
    <w:rsid w:val="00F019A0"/>
    <w:rsid w:val="00F019E1"/>
    <w:rsid w:val="00F01A49"/>
    <w:rsid w:val="00F01CF8"/>
    <w:rsid w:val="00F01EEA"/>
    <w:rsid w:val="00F02049"/>
    <w:rsid w:val="00F02183"/>
    <w:rsid w:val="00F0218C"/>
    <w:rsid w:val="00F027CB"/>
    <w:rsid w:val="00F02A8C"/>
    <w:rsid w:val="00F02B27"/>
    <w:rsid w:val="00F02F83"/>
    <w:rsid w:val="00F03C26"/>
    <w:rsid w:val="00F03DF2"/>
    <w:rsid w:val="00F03EB4"/>
    <w:rsid w:val="00F03F3D"/>
    <w:rsid w:val="00F04185"/>
    <w:rsid w:val="00F04314"/>
    <w:rsid w:val="00F045BB"/>
    <w:rsid w:val="00F04661"/>
    <w:rsid w:val="00F046BF"/>
    <w:rsid w:val="00F04ADE"/>
    <w:rsid w:val="00F04B89"/>
    <w:rsid w:val="00F04E7F"/>
    <w:rsid w:val="00F0510F"/>
    <w:rsid w:val="00F05586"/>
    <w:rsid w:val="00F05758"/>
    <w:rsid w:val="00F05B0D"/>
    <w:rsid w:val="00F062C5"/>
    <w:rsid w:val="00F06894"/>
    <w:rsid w:val="00F06B33"/>
    <w:rsid w:val="00F06BE8"/>
    <w:rsid w:val="00F06C62"/>
    <w:rsid w:val="00F06DC9"/>
    <w:rsid w:val="00F06FE6"/>
    <w:rsid w:val="00F070C0"/>
    <w:rsid w:val="00F07172"/>
    <w:rsid w:val="00F07219"/>
    <w:rsid w:val="00F0734C"/>
    <w:rsid w:val="00F07499"/>
    <w:rsid w:val="00F079F0"/>
    <w:rsid w:val="00F07A08"/>
    <w:rsid w:val="00F07C33"/>
    <w:rsid w:val="00F07F6C"/>
    <w:rsid w:val="00F1007E"/>
    <w:rsid w:val="00F1087B"/>
    <w:rsid w:val="00F10B69"/>
    <w:rsid w:val="00F10B96"/>
    <w:rsid w:val="00F10DFA"/>
    <w:rsid w:val="00F10F98"/>
    <w:rsid w:val="00F1187A"/>
    <w:rsid w:val="00F11ACA"/>
    <w:rsid w:val="00F11F17"/>
    <w:rsid w:val="00F120A6"/>
    <w:rsid w:val="00F12114"/>
    <w:rsid w:val="00F12681"/>
    <w:rsid w:val="00F126F6"/>
    <w:rsid w:val="00F12DA0"/>
    <w:rsid w:val="00F12DEF"/>
    <w:rsid w:val="00F12E8F"/>
    <w:rsid w:val="00F13013"/>
    <w:rsid w:val="00F130A4"/>
    <w:rsid w:val="00F13630"/>
    <w:rsid w:val="00F13673"/>
    <w:rsid w:val="00F13D43"/>
    <w:rsid w:val="00F14491"/>
    <w:rsid w:val="00F14978"/>
    <w:rsid w:val="00F14B56"/>
    <w:rsid w:val="00F14CEE"/>
    <w:rsid w:val="00F14E4D"/>
    <w:rsid w:val="00F1533D"/>
    <w:rsid w:val="00F15590"/>
    <w:rsid w:val="00F163E7"/>
    <w:rsid w:val="00F166CA"/>
    <w:rsid w:val="00F167AD"/>
    <w:rsid w:val="00F169E4"/>
    <w:rsid w:val="00F16A74"/>
    <w:rsid w:val="00F16BB9"/>
    <w:rsid w:val="00F16C81"/>
    <w:rsid w:val="00F17057"/>
    <w:rsid w:val="00F17096"/>
    <w:rsid w:val="00F17116"/>
    <w:rsid w:val="00F172A5"/>
    <w:rsid w:val="00F173DD"/>
    <w:rsid w:val="00F175AA"/>
    <w:rsid w:val="00F179AC"/>
    <w:rsid w:val="00F17A4B"/>
    <w:rsid w:val="00F17AB3"/>
    <w:rsid w:val="00F202C6"/>
    <w:rsid w:val="00F203A1"/>
    <w:rsid w:val="00F20489"/>
    <w:rsid w:val="00F20C3D"/>
    <w:rsid w:val="00F20FDC"/>
    <w:rsid w:val="00F20FE2"/>
    <w:rsid w:val="00F211E7"/>
    <w:rsid w:val="00F212C0"/>
    <w:rsid w:val="00F218BD"/>
    <w:rsid w:val="00F21AB9"/>
    <w:rsid w:val="00F21C8F"/>
    <w:rsid w:val="00F21ED7"/>
    <w:rsid w:val="00F22148"/>
    <w:rsid w:val="00F22340"/>
    <w:rsid w:val="00F22346"/>
    <w:rsid w:val="00F225CF"/>
    <w:rsid w:val="00F226E6"/>
    <w:rsid w:val="00F228DD"/>
    <w:rsid w:val="00F2296B"/>
    <w:rsid w:val="00F22A6C"/>
    <w:rsid w:val="00F22E41"/>
    <w:rsid w:val="00F22EFE"/>
    <w:rsid w:val="00F2348A"/>
    <w:rsid w:val="00F23581"/>
    <w:rsid w:val="00F23846"/>
    <w:rsid w:val="00F2388B"/>
    <w:rsid w:val="00F238AD"/>
    <w:rsid w:val="00F23AB4"/>
    <w:rsid w:val="00F23B90"/>
    <w:rsid w:val="00F23BE8"/>
    <w:rsid w:val="00F241AF"/>
    <w:rsid w:val="00F24356"/>
    <w:rsid w:val="00F24642"/>
    <w:rsid w:val="00F248DC"/>
    <w:rsid w:val="00F248EE"/>
    <w:rsid w:val="00F24906"/>
    <w:rsid w:val="00F24D61"/>
    <w:rsid w:val="00F2549A"/>
    <w:rsid w:val="00F255E3"/>
    <w:rsid w:val="00F255E4"/>
    <w:rsid w:val="00F2564D"/>
    <w:rsid w:val="00F25888"/>
    <w:rsid w:val="00F258BD"/>
    <w:rsid w:val="00F25BA8"/>
    <w:rsid w:val="00F25C6A"/>
    <w:rsid w:val="00F26225"/>
    <w:rsid w:val="00F26885"/>
    <w:rsid w:val="00F27149"/>
    <w:rsid w:val="00F2746A"/>
    <w:rsid w:val="00F27556"/>
    <w:rsid w:val="00F2763A"/>
    <w:rsid w:val="00F27652"/>
    <w:rsid w:val="00F27708"/>
    <w:rsid w:val="00F2771E"/>
    <w:rsid w:val="00F27940"/>
    <w:rsid w:val="00F27FB4"/>
    <w:rsid w:val="00F300EB"/>
    <w:rsid w:val="00F3019C"/>
    <w:rsid w:val="00F30390"/>
    <w:rsid w:val="00F3044C"/>
    <w:rsid w:val="00F30651"/>
    <w:rsid w:val="00F30671"/>
    <w:rsid w:val="00F30677"/>
    <w:rsid w:val="00F310B7"/>
    <w:rsid w:val="00F3117D"/>
    <w:rsid w:val="00F31213"/>
    <w:rsid w:val="00F312F4"/>
    <w:rsid w:val="00F31332"/>
    <w:rsid w:val="00F315CC"/>
    <w:rsid w:val="00F31788"/>
    <w:rsid w:val="00F31D0E"/>
    <w:rsid w:val="00F31DEB"/>
    <w:rsid w:val="00F31F53"/>
    <w:rsid w:val="00F3226B"/>
    <w:rsid w:val="00F324CA"/>
    <w:rsid w:val="00F325A0"/>
    <w:rsid w:val="00F325B7"/>
    <w:rsid w:val="00F32713"/>
    <w:rsid w:val="00F335B0"/>
    <w:rsid w:val="00F335C0"/>
    <w:rsid w:val="00F3364C"/>
    <w:rsid w:val="00F33BD2"/>
    <w:rsid w:val="00F34071"/>
    <w:rsid w:val="00F34133"/>
    <w:rsid w:val="00F3413E"/>
    <w:rsid w:val="00F34332"/>
    <w:rsid w:val="00F3459C"/>
    <w:rsid w:val="00F345CB"/>
    <w:rsid w:val="00F3475B"/>
    <w:rsid w:val="00F34853"/>
    <w:rsid w:val="00F34995"/>
    <w:rsid w:val="00F34E73"/>
    <w:rsid w:val="00F356F3"/>
    <w:rsid w:val="00F35A76"/>
    <w:rsid w:val="00F35EE9"/>
    <w:rsid w:val="00F361FA"/>
    <w:rsid w:val="00F36430"/>
    <w:rsid w:val="00F36563"/>
    <w:rsid w:val="00F368F5"/>
    <w:rsid w:val="00F36B7A"/>
    <w:rsid w:val="00F36FC4"/>
    <w:rsid w:val="00F370C0"/>
    <w:rsid w:val="00F3712F"/>
    <w:rsid w:val="00F372E8"/>
    <w:rsid w:val="00F37670"/>
    <w:rsid w:val="00F3777C"/>
    <w:rsid w:val="00F37977"/>
    <w:rsid w:val="00F37A4D"/>
    <w:rsid w:val="00F37B96"/>
    <w:rsid w:val="00F37BDE"/>
    <w:rsid w:val="00F37C63"/>
    <w:rsid w:val="00F37CC8"/>
    <w:rsid w:val="00F37CCB"/>
    <w:rsid w:val="00F37D1A"/>
    <w:rsid w:val="00F4000F"/>
    <w:rsid w:val="00F40042"/>
    <w:rsid w:val="00F403EB"/>
    <w:rsid w:val="00F40878"/>
    <w:rsid w:val="00F4096B"/>
    <w:rsid w:val="00F40B62"/>
    <w:rsid w:val="00F40C7F"/>
    <w:rsid w:val="00F41358"/>
    <w:rsid w:val="00F41377"/>
    <w:rsid w:val="00F41797"/>
    <w:rsid w:val="00F41A6C"/>
    <w:rsid w:val="00F41CA5"/>
    <w:rsid w:val="00F4207E"/>
    <w:rsid w:val="00F42948"/>
    <w:rsid w:val="00F42A51"/>
    <w:rsid w:val="00F42B82"/>
    <w:rsid w:val="00F42D0D"/>
    <w:rsid w:val="00F42F76"/>
    <w:rsid w:val="00F42FBA"/>
    <w:rsid w:val="00F430CF"/>
    <w:rsid w:val="00F43143"/>
    <w:rsid w:val="00F43A5E"/>
    <w:rsid w:val="00F43CF2"/>
    <w:rsid w:val="00F43F34"/>
    <w:rsid w:val="00F444DA"/>
    <w:rsid w:val="00F446DF"/>
    <w:rsid w:val="00F447C4"/>
    <w:rsid w:val="00F44997"/>
    <w:rsid w:val="00F44FF7"/>
    <w:rsid w:val="00F451E4"/>
    <w:rsid w:val="00F453D6"/>
    <w:rsid w:val="00F4561D"/>
    <w:rsid w:val="00F45742"/>
    <w:rsid w:val="00F45AA4"/>
    <w:rsid w:val="00F45CAE"/>
    <w:rsid w:val="00F45ECA"/>
    <w:rsid w:val="00F4616A"/>
    <w:rsid w:val="00F46367"/>
    <w:rsid w:val="00F467F0"/>
    <w:rsid w:val="00F4768C"/>
    <w:rsid w:val="00F477FA"/>
    <w:rsid w:val="00F47A27"/>
    <w:rsid w:val="00F47BBE"/>
    <w:rsid w:val="00F47BD6"/>
    <w:rsid w:val="00F47C2C"/>
    <w:rsid w:val="00F501A0"/>
    <w:rsid w:val="00F501D9"/>
    <w:rsid w:val="00F50580"/>
    <w:rsid w:val="00F506DA"/>
    <w:rsid w:val="00F50756"/>
    <w:rsid w:val="00F50A94"/>
    <w:rsid w:val="00F50BBC"/>
    <w:rsid w:val="00F50E17"/>
    <w:rsid w:val="00F50F04"/>
    <w:rsid w:val="00F50FAA"/>
    <w:rsid w:val="00F50FD0"/>
    <w:rsid w:val="00F51094"/>
    <w:rsid w:val="00F51281"/>
    <w:rsid w:val="00F513D4"/>
    <w:rsid w:val="00F513E9"/>
    <w:rsid w:val="00F514F3"/>
    <w:rsid w:val="00F5161A"/>
    <w:rsid w:val="00F51659"/>
    <w:rsid w:val="00F5217D"/>
    <w:rsid w:val="00F521CD"/>
    <w:rsid w:val="00F5239E"/>
    <w:rsid w:val="00F523E5"/>
    <w:rsid w:val="00F52710"/>
    <w:rsid w:val="00F528C2"/>
    <w:rsid w:val="00F52A75"/>
    <w:rsid w:val="00F52B24"/>
    <w:rsid w:val="00F52D06"/>
    <w:rsid w:val="00F52F10"/>
    <w:rsid w:val="00F53403"/>
    <w:rsid w:val="00F5346C"/>
    <w:rsid w:val="00F53607"/>
    <w:rsid w:val="00F53815"/>
    <w:rsid w:val="00F53C18"/>
    <w:rsid w:val="00F53CF7"/>
    <w:rsid w:val="00F53DBD"/>
    <w:rsid w:val="00F541E6"/>
    <w:rsid w:val="00F544CA"/>
    <w:rsid w:val="00F54777"/>
    <w:rsid w:val="00F548D6"/>
    <w:rsid w:val="00F54A70"/>
    <w:rsid w:val="00F54A9E"/>
    <w:rsid w:val="00F54D87"/>
    <w:rsid w:val="00F54DDF"/>
    <w:rsid w:val="00F54F65"/>
    <w:rsid w:val="00F55445"/>
    <w:rsid w:val="00F556A8"/>
    <w:rsid w:val="00F55D07"/>
    <w:rsid w:val="00F566B0"/>
    <w:rsid w:val="00F56893"/>
    <w:rsid w:val="00F56911"/>
    <w:rsid w:val="00F56A50"/>
    <w:rsid w:val="00F56A5F"/>
    <w:rsid w:val="00F56EDE"/>
    <w:rsid w:val="00F57056"/>
    <w:rsid w:val="00F57334"/>
    <w:rsid w:val="00F573A7"/>
    <w:rsid w:val="00F577EA"/>
    <w:rsid w:val="00F57893"/>
    <w:rsid w:val="00F578C7"/>
    <w:rsid w:val="00F60404"/>
    <w:rsid w:val="00F607B2"/>
    <w:rsid w:val="00F60D57"/>
    <w:rsid w:val="00F60D8B"/>
    <w:rsid w:val="00F60E51"/>
    <w:rsid w:val="00F60EE9"/>
    <w:rsid w:val="00F60F3E"/>
    <w:rsid w:val="00F61487"/>
    <w:rsid w:val="00F6157A"/>
    <w:rsid w:val="00F6190E"/>
    <w:rsid w:val="00F61B91"/>
    <w:rsid w:val="00F622CB"/>
    <w:rsid w:val="00F62478"/>
    <w:rsid w:val="00F62CF2"/>
    <w:rsid w:val="00F62F4E"/>
    <w:rsid w:val="00F62FB6"/>
    <w:rsid w:val="00F634DD"/>
    <w:rsid w:val="00F6355C"/>
    <w:rsid w:val="00F63660"/>
    <w:rsid w:val="00F636F3"/>
    <w:rsid w:val="00F63776"/>
    <w:rsid w:val="00F63990"/>
    <w:rsid w:val="00F63D12"/>
    <w:rsid w:val="00F63E78"/>
    <w:rsid w:val="00F640F6"/>
    <w:rsid w:val="00F6412E"/>
    <w:rsid w:val="00F64159"/>
    <w:rsid w:val="00F643A3"/>
    <w:rsid w:val="00F643E6"/>
    <w:rsid w:val="00F6451C"/>
    <w:rsid w:val="00F65010"/>
    <w:rsid w:val="00F650B0"/>
    <w:rsid w:val="00F65119"/>
    <w:rsid w:val="00F651D8"/>
    <w:rsid w:val="00F65221"/>
    <w:rsid w:val="00F65386"/>
    <w:rsid w:val="00F65469"/>
    <w:rsid w:val="00F658CB"/>
    <w:rsid w:val="00F65B48"/>
    <w:rsid w:val="00F6645E"/>
    <w:rsid w:val="00F66622"/>
    <w:rsid w:val="00F66B10"/>
    <w:rsid w:val="00F66EC4"/>
    <w:rsid w:val="00F6758D"/>
    <w:rsid w:val="00F6763D"/>
    <w:rsid w:val="00F67BAF"/>
    <w:rsid w:val="00F67C7A"/>
    <w:rsid w:val="00F67D75"/>
    <w:rsid w:val="00F67EF1"/>
    <w:rsid w:val="00F67F4D"/>
    <w:rsid w:val="00F7009D"/>
    <w:rsid w:val="00F700D4"/>
    <w:rsid w:val="00F70351"/>
    <w:rsid w:val="00F70474"/>
    <w:rsid w:val="00F7065F"/>
    <w:rsid w:val="00F707DA"/>
    <w:rsid w:val="00F708C8"/>
    <w:rsid w:val="00F708FE"/>
    <w:rsid w:val="00F70A6E"/>
    <w:rsid w:val="00F71045"/>
    <w:rsid w:val="00F71160"/>
    <w:rsid w:val="00F71173"/>
    <w:rsid w:val="00F711FB"/>
    <w:rsid w:val="00F71315"/>
    <w:rsid w:val="00F7147E"/>
    <w:rsid w:val="00F71686"/>
    <w:rsid w:val="00F71A8D"/>
    <w:rsid w:val="00F71C09"/>
    <w:rsid w:val="00F71F9E"/>
    <w:rsid w:val="00F71FF6"/>
    <w:rsid w:val="00F721C1"/>
    <w:rsid w:val="00F72514"/>
    <w:rsid w:val="00F72838"/>
    <w:rsid w:val="00F7291D"/>
    <w:rsid w:val="00F72950"/>
    <w:rsid w:val="00F72DA2"/>
    <w:rsid w:val="00F72DE2"/>
    <w:rsid w:val="00F72E1A"/>
    <w:rsid w:val="00F7393C"/>
    <w:rsid w:val="00F73A6A"/>
    <w:rsid w:val="00F740DF"/>
    <w:rsid w:val="00F745E2"/>
    <w:rsid w:val="00F745E4"/>
    <w:rsid w:val="00F74634"/>
    <w:rsid w:val="00F74BB4"/>
    <w:rsid w:val="00F74BDC"/>
    <w:rsid w:val="00F750DA"/>
    <w:rsid w:val="00F7513A"/>
    <w:rsid w:val="00F7533C"/>
    <w:rsid w:val="00F75456"/>
    <w:rsid w:val="00F75790"/>
    <w:rsid w:val="00F757C6"/>
    <w:rsid w:val="00F7582B"/>
    <w:rsid w:val="00F75A54"/>
    <w:rsid w:val="00F75F2B"/>
    <w:rsid w:val="00F76A40"/>
    <w:rsid w:val="00F76B2F"/>
    <w:rsid w:val="00F76B62"/>
    <w:rsid w:val="00F76D68"/>
    <w:rsid w:val="00F76FED"/>
    <w:rsid w:val="00F77037"/>
    <w:rsid w:val="00F77A94"/>
    <w:rsid w:val="00F77CF6"/>
    <w:rsid w:val="00F803B4"/>
    <w:rsid w:val="00F804CE"/>
    <w:rsid w:val="00F806AA"/>
    <w:rsid w:val="00F806D1"/>
    <w:rsid w:val="00F8098D"/>
    <w:rsid w:val="00F80C87"/>
    <w:rsid w:val="00F810FA"/>
    <w:rsid w:val="00F8176B"/>
    <w:rsid w:val="00F817EA"/>
    <w:rsid w:val="00F819BB"/>
    <w:rsid w:val="00F81F7A"/>
    <w:rsid w:val="00F82256"/>
    <w:rsid w:val="00F8236C"/>
    <w:rsid w:val="00F8275E"/>
    <w:rsid w:val="00F8360F"/>
    <w:rsid w:val="00F837A4"/>
    <w:rsid w:val="00F839DF"/>
    <w:rsid w:val="00F83B59"/>
    <w:rsid w:val="00F844F7"/>
    <w:rsid w:val="00F8489D"/>
    <w:rsid w:val="00F848CF"/>
    <w:rsid w:val="00F848E5"/>
    <w:rsid w:val="00F84ED7"/>
    <w:rsid w:val="00F858EC"/>
    <w:rsid w:val="00F8595B"/>
    <w:rsid w:val="00F859A0"/>
    <w:rsid w:val="00F85CDF"/>
    <w:rsid w:val="00F864CE"/>
    <w:rsid w:val="00F86508"/>
    <w:rsid w:val="00F86546"/>
    <w:rsid w:val="00F8670F"/>
    <w:rsid w:val="00F86851"/>
    <w:rsid w:val="00F86CC0"/>
    <w:rsid w:val="00F86DE2"/>
    <w:rsid w:val="00F87715"/>
    <w:rsid w:val="00F87785"/>
    <w:rsid w:val="00F87B92"/>
    <w:rsid w:val="00F90023"/>
    <w:rsid w:val="00F904D5"/>
    <w:rsid w:val="00F905D8"/>
    <w:rsid w:val="00F90F14"/>
    <w:rsid w:val="00F91166"/>
    <w:rsid w:val="00F9166A"/>
    <w:rsid w:val="00F91912"/>
    <w:rsid w:val="00F91922"/>
    <w:rsid w:val="00F9192D"/>
    <w:rsid w:val="00F91A6D"/>
    <w:rsid w:val="00F92542"/>
    <w:rsid w:val="00F92784"/>
    <w:rsid w:val="00F9279B"/>
    <w:rsid w:val="00F92B7E"/>
    <w:rsid w:val="00F92C37"/>
    <w:rsid w:val="00F9330A"/>
    <w:rsid w:val="00F93365"/>
    <w:rsid w:val="00F9349B"/>
    <w:rsid w:val="00F934AC"/>
    <w:rsid w:val="00F939BD"/>
    <w:rsid w:val="00F93E53"/>
    <w:rsid w:val="00F93F85"/>
    <w:rsid w:val="00F93F92"/>
    <w:rsid w:val="00F94119"/>
    <w:rsid w:val="00F941E6"/>
    <w:rsid w:val="00F94372"/>
    <w:rsid w:val="00F94AC9"/>
    <w:rsid w:val="00F94D0A"/>
    <w:rsid w:val="00F94E62"/>
    <w:rsid w:val="00F95245"/>
    <w:rsid w:val="00F952CB"/>
    <w:rsid w:val="00F953D5"/>
    <w:rsid w:val="00F954E2"/>
    <w:rsid w:val="00F957B7"/>
    <w:rsid w:val="00F95B70"/>
    <w:rsid w:val="00F95DDB"/>
    <w:rsid w:val="00F96061"/>
    <w:rsid w:val="00F96876"/>
    <w:rsid w:val="00F96A4F"/>
    <w:rsid w:val="00F96C31"/>
    <w:rsid w:val="00F96EF1"/>
    <w:rsid w:val="00F9770C"/>
    <w:rsid w:val="00F977A4"/>
    <w:rsid w:val="00F9782D"/>
    <w:rsid w:val="00F97C4E"/>
    <w:rsid w:val="00F97C7F"/>
    <w:rsid w:val="00F97D97"/>
    <w:rsid w:val="00F97E11"/>
    <w:rsid w:val="00F97FDC"/>
    <w:rsid w:val="00FA01F7"/>
    <w:rsid w:val="00FA0645"/>
    <w:rsid w:val="00FA0680"/>
    <w:rsid w:val="00FA0767"/>
    <w:rsid w:val="00FA0B2D"/>
    <w:rsid w:val="00FA0D26"/>
    <w:rsid w:val="00FA1036"/>
    <w:rsid w:val="00FA1467"/>
    <w:rsid w:val="00FA147D"/>
    <w:rsid w:val="00FA1536"/>
    <w:rsid w:val="00FA1867"/>
    <w:rsid w:val="00FA192B"/>
    <w:rsid w:val="00FA198E"/>
    <w:rsid w:val="00FA19FB"/>
    <w:rsid w:val="00FA1DBD"/>
    <w:rsid w:val="00FA2275"/>
    <w:rsid w:val="00FA27EE"/>
    <w:rsid w:val="00FA2859"/>
    <w:rsid w:val="00FA2A40"/>
    <w:rsid w:val="00FA2B81"/>
    <w:rsid w:val="00FA2EE8"/>
    <w:rsid w:val="00FA42F3"/>
    <w:rsid w:val="00FA4567"/>
    <w:rsid w:val="00FA461B"/>
    <w:rsid w:val="00FA475B"/>
    <w:rsid w:val="00FA47FE"/>
    <w:rsid w:val="00FA49CD"/>
    <w:rsid w:val="00FA4A02"/>
    <w:rsid w:val="00FA55D1"/>
    <w:rsid w:val="00FA577B"/>
    <w:rsid w:val="00FA57EC"/>
    <w:rsid w:val="00FA5A75"/>
    <w:rsid w:val="00FA5B30"/>
    <w:rsid w:val="00FA5C85"/>
    <w:rsid w:val="00FA6369"/>
    <w:rsid w:val="00FA6407"/>
    <w:rsid w:val="00FA646E"/>
    <w:rsid w:val="00FA674D"/>
    <w:rsid w:val="00FA6A27"/>
    <w:rsid w:val="00FA6B08"/>
    <w:rsid w:val="00FA6BE0"/>
    <w:rsid w:val="00FA6C7E"/>
    <w:rsid w:val="00FA6DFF"/>
    <w:rsid w:val="00FA6E4F"/>
    <w:rsid w:val="00FA7551"/>
    <w:rsid w:val="00FA78C9"/>
    <w:rsid w:val="00FA7B67"/>
    <w:rsid w:val="00FA7C47"/>
    <w:rsid w:val="00FA7CC9"/>
    <w:rsid w:val="00FB01C6"/>
    <w:rsid w:val="00FB020C"/>
    <w:rsid w:val="00FB03F9"/>
    <w:rsid w:val="00FB054F"/>
    <w:rsid w:val="00FB0678"/>
    <w:rsid w:val="00FB082D"/>
    <w:rsid w:val="00FB085D"/>
    <w:rsid w:val="00FB0883"/>
    <w:rsid w:val="00FB0C01"/>
    <w:rsid w:val="00FB10E1"/>
    <w:rsid w:val="00FB1791"/>
    <w:rsid w:val="00FB1ED7"/>
    <w:rsid w:val="00FB1FCB"/>
    <w:rsid w:val="00FB2099"/>
    <w:rsid w:val="00FB22C0"/>
    <w:rsid w:val="00FB2439"/>
    <w:rsid w:val="00FB260E"/>
    <w:rsid w:val="00FB27A7"/>
    <w:rsid w:val="00FB2A65"/>
    <w:rsid w:val="00FB2BCA"/>
    <w:rsid w:val="00FB2CD4"/>
    <w:rsid w:val="00FB2E02"/>
    <w:rsid w:val="00FB2ECD"/>
    <w:rsid w:val="00FB301D"/>
    <w:rsid w:val="00FB3446"/>
    <w:rsid w:val="00FB3502"/>
    <w:rsid w:val="00FB3793"/>
    <w:rsid w:val="00FB3812"/>
    <w:rsid w:val="00FB4031"/>
    <w:rsid w:val="00FB4428"/>
    <w:rsid w:val="00FB47A0"/>
    <w:rsid w:val="00FB4C3C"/>
    <w:rsid w:val="00FB525E"/>
    <w:rsid w:val="00FB54F1"/>
    <w:rsid w:val="00FB5541"/>
    <w:rsid w:val="00FB56EC"/>
    <w:rsid w:val="00FB5791"/>
    <w:rsid w:val="00FB5A61"/>
    <w:rsid w:val="00FB5F6A"/>
    <w:rsid w:val="00FB60F2"/>
    <w:rsid w:val="00FB627D"/>
    <w:rsid w:val="00FB63EA"/>
    <w:rsid w:val="00FB66B8"/>
    <w:rsid w:val="00FB6BA8"/>
    <w:rsid w:val="00FB7347"/>
    <w:rsid w:val="00FB75A0"/>
    <w:rsid w:val="00FB7FD2"/>
    <w:rsid w:val="00FB7FD4"/>
    <w:rsid w:val="00FC0283"/>
    <w:rsid w:val="00FC02BF"/>
    <w:rsid w:val="00FC02C5"/>
    <w:rsid w:val="00FC07C4"/>
    <w:rsid w:val="00FC0AD9"/>
    <w:rsid w:val="00FC0C11"/>
    <w:rsid w:val="00FC0FFB"/>
    <w:rsid w:val="00FC1124"/>
    <w:rsid w:val="00FC12D6"/>
    <w:rsid w:val="00FC1A2C"/>
    <w:rsid w:val="00FC1AC9"/>
    <w:rsid w:val="00FC1B14"/>
    <w:rsid w:val="00FC2286"/>
    <w:rsid w:val="00FC25EF"/>
    <w:rsid w:val="00FC2644"/>
    <w:rsid w:val="00FC2717"/>
    <w:rsid w:val="00FC28E8"/>
    <w:rsid w:val="00FC2BDD"/>
    <w:rsid w:val="00FC2C6D"/>
    <w:rsid w:val="00FC2E6D"/>
    <w:rsid w:val="00FC3101"/>
    <w:rsid w:val="00FC331D"/>
    <w:rsid w:val="00FC3888"/>
    <w:rsid w:val="00FC3967"/>
    <w:rsid w:val="00FC3B4C"/>
    <w:rsid w:val="00FC3B54"/>
    <w:rsid w:val="00FC3E19"/>
    <w:rsid w:val="00FC3E94"/>
    <w:rsid w:val="00FC410C"/>
    <w:rsid w:val="00FC44F6"/>
    <w:rsid w:val="00FC4537"/>
    <w:rsid w:val="00FC4679"/>
    <w:rsid w:val="00FC467A"/>
    <w:rsid w:val="00FC47B6"/>
    <w:rsid w:val="00FC49AF"/>
    <w:rsid w:val="00FC4A29"/>
    <w:rsid w:val="00FC4AB5"/>
    <w:rsid w:val="00FC4C8C"/>
    <w:rsid w:val="00FC4DB6"/>
    <w:rsid w:val="00FC4E92"/>
    <w:rsid w:val="00FC4EF1"/>
    <w:rsid w:val="00FC4F3B"/>
    <w:rsid w:val="00FC59D0"/>
    <w:rsid w:val="00FC5CAD"/>
    <w:rsid w:val="00FC6135"/>
    <w:rsid w:val="00FC6407"/>
    <w:rsid w:val="00FC6645"/>
    <w:rsid w:val="00FC6778"/>
    <w:rsid w:val="00FC6ABC"/>
    <w:rsid w:val="00FC6AD7"/>
    <w:rsid w:val="00FC6C06"/>
    <w:rsid w:val="00FC6E43"/>
    <w:rsid w:val="00FC6EFD"/>
    <w:rsid w:val="00FC6F61"/>
    <w:rsid w:val="00FC70AA"/>
    <w:rsid w:val="00FC73FE"/>
    <w:rsid w:val="00FC7981"/>
    <w:rsid w:val="00FC79F7"/>
    <w:rsid w:val="00FC7BC3"/>
    <w:rsid w:val="00FC7CDE"/>
    <w:rsid w:val="00FD05AB"/>
    <w:rsid w:val="00FD05BC"/>
    <w:rsid w:val="00FD07B0"/>
    <w:rsid w:val="00FD0937"/>
    <w:rsid w:val="00FD09DF"/>
    <w:rsid w:val="00FD0AC3"/>
    <w:rsid w:val="00FD0BA6"/>
    <w:rsid w:val="00FD0D0E"/>
    <w:rsid w:val="00FD143F"/>
    <w:rsid w:val="00FD186B"/>
    <w:rsid w:val="00FD19D3"/>
    <w:rsid w:val="00FD1D11"/>
    <w:rsid w:val="00FD2053"/>
    <w:rsid w:val="00FD21E0"/>
    <w:rsid w:val="00FD2802"/>
    <w:rsid w:val="00FD29F3"/>
    <w:rsid w:val="00FD2ACA"/>
    <w:rsid w:val="00FD330E"/>
    <w:rsid w:val="00FD3A6A"/>
    <w:rsid w:val="00FD3D10"/>
    <w:rsid w:val="00FD4003"/>
    <w:rsid w:val="00FD422E"/>
    <w:rsid w:val="00FD4409"/>
    <w:rsid w:val="00FD458C"/>
    <w:rsid w:val="00FD4634"/>
    <w:rsid w:val="00FD488E"/>
    <w:rsid w:val="00FD4B79"/>
    <w:rsid w:val="00FD4BE1"/>
    <w:rsid w:val="00FD4EF7"/>
    <w:rsid w:val="00FD4F5A"/>
    <w:rsid w:val="00FD4F7F"/>
    <w:rsid w:val="00FD4F97"/>
    <w:rsid w:val="00FD55A2"/>
    <w:rsid w:val="00FD5786"/>
    <w:rsid w:val="00FD591A"/>
    <w:rsid w:val="00FD5999"/>
    <w:rsid w:val="00FD5AAE"/>
    <w:rsid w:val="00FD5E9B"/>
    <w:rsid w:val="00FD6170"/>
    <w:rsid w:val="00FD63B7"/>
    <w:rsid w:val="00FD66E2"/>
    <w:rsid w:val="00FD6710"/>
    <w:rsid w:val="00FD6812"/>
    <w:rsid w:val="00FD6E43"/>
    <w:rsid w:val="00FD6EE6"/>
    <w:rsid w:val="00FD734C"/>
    <w:rsid w:val="00FD74B6"/>
    <w:rsid w:val="00FD74F7"/>
    <w:rsid w:val="00FD7538"/>
    <w:rsid w:val="00FD7596"/>
    <w:rsid w:val="00FD7BBE"/>
    <w:rsid w:val="00FD7CEC"/>
    <w:rsid w:val="00FE0148"/>
    <w:rsid w:val="00FE0190"/>
    <w:rsid w:val="00FE02A4"/>
    <w:rsid w:val="00FE0492"/>
    <w:rsid w:val="00FE0669"/>
    <w:rsid w:val="00FE0759"/>
    <w:rsid w:val="00FE0876"/>
    <w:rsid w:val="00FE09F3"/>
    <w:rsid w:val="00FE0F44"/>
    <w:rsid w:val="00FE1369"/>
    <w:rsid w:val="00FE17E1"/>
    <w:rsid w:val="00FE1A1C"/>
    <w:rsid w:val="00FE1DF4"/>
    <w:rsid w:val="00FE1ECE"/>
    <w:rsid w:val="00FE1F68"/>
    <w:rsid w:val="00FE212C"/>
    <w:rsid w:val="00FE229A"/>
    <w:rsid w:val="00FE22C4"/>
    <w:rsid w:val="00FE22CC"/>
    <w:rsid w:val="00FE22DA"/>
    <w:rsid w:val="00FE299A"/>
    <w:rsid w:val="00FE2BA7"/>
    <w:rsid w:val="00FE2FE2"/>
    <w:rsid w:val="00FE3235"/>
    <w:rsid w:val="00FE3242"/>
    <w:rsid w:val="00FE3372"/>
    <w:rsid w:val="00FE33A4"/>
    <w:rsid w:val="00FE33FB"/>
    <w:rsid w:val="00FE385C"/>
    <w:rsid w:val="00FE3D07"/>
    <w:rsid w:val="00FE3D6E"/>
    <w:rsid w:val="00FE403C"/>
    <w:rsid w:val="00FE42C3"/>
    <w:rsid w:val="00FE43F0"/>
    <w:rsid w:val="00FE454C"/>
    <w:rsid w:val="00FE4607"/>
    <w:rsid w:val="00FE4794"/>
    <w:rsid w:val="00FE4856"/>
    <w:rsid w:val="00FE49A1"/>
    <w:rsid w:val="00FE504B"/>
    <w:rsid w:val="00FE552D"/>
    <w:rsid w:val="00FE5999"/>
    <w:rsid w:val="00FE5AD3"/>
    <w:rsid w:val="00FE5B4D"/>
    <w:rsid w:val="00FE5C8A"/>
    <w:rsid w:val="00FE660B"/>
    <w:rsid w:val="00FE66F9"/>
    <w:rsid w:val="00FE6806"/>
    <w:rsid w:val="00FE6869"/>
    <w:rsid w:val="00FE6B68"/>
    <w:rsid w:val="00FE6D5C"/>
    <w:rsid w:val="00FE6E78"/>
    <w:rsid w:val="00FE70C1"/>
    <w:rsid w:val="00FE722A"/>
    <w:rsid w:val="00FE76A8"/>
    <w:rsid w:val="00FE7AEA"/>
    <w:rsid w:val="00FE7B52"/>
    <w:rsid w:val="00FE7B93"/>
    <w:rsid w:val="00FE7D4B"/>
    <w:rsid w:val="00FE7EEE"/>
    <w:rsid w:val="00FF0278"/>
    <w:rsid w:val="00FF032D"/>
    <w:rsid w:val="00FF0D28"/>
    <w:rsid w:val="00FF1395"/>
    <w:rsid w:val="00FF1595"/>
    <w:rsid w:val="00FF192C"/>
    <w:rsid w:val="00FF1953"/>
    <w:rsid w:val="00FF1984"/>
    <w:rsid w:val="00FF1F0D"/>
    <w:rsid w:val="00FF1F3F"/>
    <w:rsid w:val="00FF219C"/>
    <w:rsid w:val="00FF277A"/>
    <w:rsid w:val="00FF2B2F"/>
    <w:rsid w:val="00FF2C85"/>
    <w:rsid w:val="00FF373B"/>
    <w:rsid w:val="00FF3A58"/>
    <w:rsid w:val="00FF3D37"/>
    <w:rsid w:val="00FF3E27"/>
    <w:rsid w:val="00FF3EF4"/>
    <w:rsid w:val="00FF4386"/>
    <w:rsid w:val="00FF4684"/>
    <w:rsid w:val="00FF4834"/>
    <w:rsid w:val="00FF4A06"/>
    <w:rsid w:val="00FF4C20"/>
    <w:rsid w:val="00FF4C68"/>
    <w:rsid w:val="00FF51DB"/>
    <w:rsid w:val="00FF5E18"/>
    <w:rsid w:val="00FF5EAB"/>
    <w:rsid w:val="00FF621B"/>
    <w:rsid w:val="00FF66AB"/>
    <w:rsid w:val="00FF676C"/>
    <w:rsid w:val="00FF6A5E"/>
    <w:rsid w:val="00FF6BE8"/>
    <w:rsid w:val="00FF6C65"/>
    <w:rsid w:val="00FF6E0B"/>
    <w:rsid w:val="00FF6E14"/>
    <w:rsid w:val="00FF6E69"/>
    <w:rsid w:val="00FF70AB"/>
    <w:rsid w:val="00FF731A"/>
    <w:rsid w:val="00FF782E"/>
    <w:rsid w:val="00FF7A15"/>
    <w:rsid w:val="00FF7AE8"/>
    <w:rsid w:val="00FF7D9D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6B"/>
  <w15:docId w15:val="{B5AA92EB-2816-49A5-A7D3-90536E9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67E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591F"/>
    <w:pPr>
      <w:keepNext/>
      <w:keepLines/>
      <w:numPr>
        <w:numId w:val="1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52"/>
      <w:szCs w:val="28"/>
    </w:rPr>
  </w:style>
  <w:style w:type="paragraph" w:styleId="Nadpis20">
    <w:name w:val="heading 2"/>
    <w:basedOn w:val="Normln"/>
    <w:next w:val="Normln"/>
    <w:link w:val="Nadpis2Char"/>
    <w:uiPriority w:val="99"/>
    <w:unhideWhenUsed/>
    <w:qFormat/>
    <w:rsid w:val="00F707DA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44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F445D"/>
    <w:pPr>
      <w:keepNext/>
      <w:keepLines/>
      <w:numPr>
        <w:ilvl w:val="2"/>
        <w:numId w:val="1"/>
      </w:numPr>
      <w:spacing w:before="200" w:after="240"/>
      <w:ind w:left="907" w:hanging="794"/>
      <w:jc w:val="left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  <w:sz w:val="32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BE4840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Cs/>
      <w:color w:val="548DD4" w:themeColor="text2" w:themeTint="99"/>
      <w:sz w:val="36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F707DA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Theme="majorHAnsi" w:eastAsiaTheme="majorEastAsia" w:hAnsiTheme="majorHAnsi" w:cstheme="majorBidi"/>
      <w:b/>
      <w:color w:val="548DD4" w:themeColor="text2" w:themeTint="99"/>
      <w:sz w:val="32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F707DA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Theme="majorHAnsi" w:eastAsiaTheme="majorEastAsia" w:hAnsiTheme="majorHAnsi" w:cstheme="majorBidi"/>
      <w:b/>
      <w:i/>
      <w:iCs/>
      <w:color w:val="548DD4" w:themeColor="text2" w:themeTint="99"/>
      <w:sz w:val="28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884D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884D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884D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4591F"/>
    <w:rPr>
      <w:rFonts w:asciiTheme="majorHAnsi" w:eastAsiaTheme="majorEastAsia" w:hAnsiTheme="majorHAnsi" w:cstheme="majorBidi"/>
      <w:b/>
      <w:bCs/>
      <w:color w:val="548DD4" w:themeColor="text2" w:themeTint="99"/>
      <w:sz w:val="52"/>
      <w:szCs w:val="28"/>
    </w:rPr>
  </w:style>
  <w:style w:type="character" w:customStyle="1" w:styleId="Nadpis2Char">
    <w:name w:val="Nadpis 2 Char"/>
    <w:basedOn w:val="Standardnpsmoodstavce"/>
    <w:link w:val="Nadpis20"/>
    <w:uiPriority w:val="99"/>
    <w:rsid w:val="00F707DA"/>
    <w:rPr>
      <w:rFonts w:asciiTheme="majorHAnsi" w:eastAsiaTheme="majorEastAsia" w:hAnsiTheme="majorHAnsi" w:cstheme="majorBidi"/>
      <w:b/>
      <w:bCs/>
      <w:color w:val="548DD4" w:themeColor="text2" w:themeTint="99"/>
      <w:sz w:val="4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445D"/>
    <w:rPr>
      <w:rFonts w:asciiTheme="majorHAnsi" w:eastAsiaTheme="majorEastAsia" w:hAnsiTheme="majorHAnsi" w:cstheme="majorBidi"/>
      <w:b/>
      <w:bCs/>
      <w:color w:val="548DD4" w:themeColor="text2" w:themeTint="99"/>
      <w:sz w:val="32"/>
    </w:rPr>
  </w:style>
  <w:style w:type="character" w:customStyle="1" w:styleId="Nadpis4Char">
    <w:name w:val="Nadpis 4 Char"/>
    <w:basedOn w:val="Standardnpsmoodstavce"/>
    <w:link w:val="Nadpis4"/>
    <w:uiPriority w:val="99"/>
    <w:rsid w:val="00BE4840"/>
    <w:rPr>
      <w:rFonts w:asciiTheme="majorHAnsi" w:eastAsiaTheme="majorEastAsia" w:hAnsiTheme="majorHAnsi" w:cstheme="majorBidi"/>
      <w:b/>
      <w:bCs/>
      <w:iCs/>
      <w:color w:val="548DD4" w:themeColor="text2" w:themeTint="99"/>
      <w:sz w:val="36"/>
    </w:rPr>
  </w:style>
  <w:style w:type="character" w:customStyle="1" w:styleId="Nadpis5Char">
    <w:name w:val="Nadpis 5 Char"/>
    <w:basedOn w:val="Standardnpsmoodstavce"/>
    <w:link w:val="Nadpis5"/>
    <w:uiPriority w:val="99"/>
    <w:rsid w:val="00F707DA"/>
    <w:rPr>
      <w:rFonts w:asciiTheme="majorHAnsi" w:eastAsiaTheme="majorEastAsia" w:hAnsiTheme="majorHAnsi" w:cstheme="majorBidi"/>
      <w:b/>
      <w:color w:val="548DD4" w:themeColor="text2" w:themeTint="99"/>
      <w:sz w:val="32"/>
    </w:rPr>
  </w:style>
  <w:style w:type="character" w:customStyle="1" w:styleId="Nadpis6Char">
    <w:name w:val="Nadpis 6 Char"/>
    <w:basedOn w:val="Standardnpsmoodstavce"/>
    <w:link w:val="Nadpis6"/>
    <w:uiPriority w:val="99"/>
    <w:rsid w:val="00F707DA"/>
    <w:rPr>
      <w:rFonts w:asciiTheme="majorHAnsi" w:eastAsiaTheme="majorEastAsia" w:hAnsiTheme="majorHAnsi" w:cstheme="majorBidi"/>
      <w:b/>
      <w:i/>
      <w:iCs/>
      <w:color w:val="548DD4" w:themeColor="text2" w:themeTint="99"/>
      <w:sz w:val="28"/>
    </w:rPr>
  </w:style>
  <w:style w:type="character" w:customStyle="1" w:styleId="Nadpis7Char">
    <w:name w:val="Nadpis 7 Char"/>
    <w:basedOn w:val="Standardnpsmoodstavce"/>
    <w:link w:val="Nadpis7"/>
    <w:uiPriority w:val="99"/>
    <w:rsid w:val="00884D1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9"/>
    <w:rsid w:val="00884D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884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Numbered Para 1,Odstavec cíl se seznamem,Odstavec se seznamem5,odrážky"/>
    <w:basedOn w:val="Normln"/>
    <w:link w:val="OdstavecseseznamemChar"/>
    <w:uiPriority w:val="34"/>
    <w:qFormat/>
    <w:rsid w:val="00884D1E"/>
    <w:pPr>
      <w:ind w:left="720"/>
      <w:contextualSpacing/>
    </w:p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Numbered Para 1 Char"/>
    <w:link w:val="Odstavecseseznamem"/>
    <w:uiPriority w:val="34"/>
    <w:qFormat/>
    <w:locked/>
    <w:rsid w:val="00FA49CD"/>
    <w:rPr>
      <w:sz w:val="24"/>
    </w:rPr>
  </w:style>
  <w:style w:type="paragraph" w:customStyle="1" w:styleId="Default">
    <w:name w:val="Default"/>
    <w:rsid w:val="00C81EA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4A2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44A2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A23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Default"/>
    <w:uiPriority w:val="99"/>
    <w:qFormat/>
    <w:rsid w:val="00ED3A57"/>
    <w:pPr>
      <w:numPr>
        <w:ilvl w:val="1"/>
        <w:numId w:val="2"/>
      </w:numPr>
    </w:pPr>
    <w:rPr>
      <w:rFonts w:ascii="Arial" w:hAnsi="Arial" w:cs="Arial"/>
      <w:b/>
      <w:bCs/>
    </w:rPr>
  </w:style>
  <w:style w:type="paragraph" w:styleId="Nadpisobsahu">
    <w:name w:val="TOC Heading"/>
    <w:basedOn w:val="Nadpis1"/>
    <w:next w:val="Normln"/>
    <w:uiPriority w:val="99"/>
    <w:unhideWhenUsed/>
    <w:qFormat/>
    <w:rsid w:val="0009242C"/>
    <w:pPr>
      <w:numPr>
        <w:numId w:val="0"/>
      </w:numPr>
      <w:spacing w:line="276" w:lineRule="auto"/>
      <w:outlineLvl w:val="9"/>
    </w:pPr>
    <w:rPr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9242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9242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09242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9242C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09242C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09242C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09242C"/>
    <w:pPr>
      <w:spacing w:after="100"/>
      <w:ind w:left="1100"/>
    </w:pPr>
  </w:style>
  <w:style w:type="paragraph" w:styleId="Textpoznpodarou">
    <w:name w:val="footnote text"/>
    <w:aliases w:val="Footnote ak,Footnote text,Footnotes,Poznámka pod čarou,Schriftart: 10 pt,Schriftart: 8 pt,Schriftart: 9 pt,WB-Fußnotentext,fn,~FootnoteText"/>
    <w:basedOn w:val="Normln"/>
    <w:link w:val="TextpoznpodarouChar"/>
    <w:uiPriority w:val="99"/>
    <w:qFormat/>
    <w:rsid w:val="00691B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ak Char,Footnote text Char,Footnotes Char,Poznámka pod čarou Char,Schriftart: 10 pt Char,Schriftart: 8 pt Char,Schriftart: 9 pt Char,WB-Fußnotentext Char,fn Char,~FootnoteText Char"/>
    <w:basedOn w:val="Standardnpsmoodstavce"/>
    <w:link w:val="Textpoznpodarou"/>
    <w:uiPriority w:val="99"/>
    <w:rsid w:val="00691B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uiPriority w:val="99"/>
    <w:rsid w:val="00691B32"/>
    <w:rPr>
      <w:vertAlign w:val="superscript"/>
    </w:rPr>
  </w:style>
  <w:style w:type="character" w:customStyle="1" w:styleId="a81">
    <w:name w:val="a81"/>
    <w:uiPriority w:val="99"/>
    <w:rsid w:val="00B37018"/>
    <w:rPr>
      <w:rFonts w:ascii="Arial" w:hAnsi="Arial" w:cs="Arial" w:hint="default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A2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A2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A37439"/>
    <w:rPr>
      <w:b/>
      <w:bCs/>
    </w:rPr>
  </w:style>
  <w:style w:type="paragraph" w:styleId="Bezmezer">
    <w:name w:val="No Spacing"/>
    <w:link w:val="BezmezerChar"/>
    <w:uiPriority w:val="99"/>
    <w:qFormat/>
    <w:rsid w:val="00E7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8B71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F07A6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F07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27BA8"/>
    <w:pPr>
      <w:spacing w:after="12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27B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62B89"/>
    <w:rPr>
      <w:sz w:val="16"/>
      <w:szCs w:val="16"/>
    </w:rPr>
  </w:style>
  <w:style w:type="paragraph" w:styleId="Obsah7">
    <w:name w:val="toc 7"/>
    <w:basedOn w:val="Normln"/>
    <w:next w:val="Normln"/>
    <w:autoRedefine/>
    <w:uiPriority w:val="39"/>
    <w:unhideWhenUsed/>
    <w:rsid w:val="00FC4537"/>
    <w:pPr>
      <w:spacing w:after="100" w:line="276" w:lineRule="auto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C4537"/>
    <w:pPr>
      <w:spacing w:after="100" w:line="276" w:lineRule="auto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C4537"/>
    <w:pPr>
      <w:spacing w:after="100" w:line="276" w:lineRule="auto"/>
      <w:ind w:left="1760"/>
      <w:jc w:val="left"/>
    </w:pPr>
    <w:rPr>
      <w:rFonts w:eastAsiaTheme="minorEastAsia"/>
      <w:lang w:eastAsia="cs-CZ"/>
    </w:rPr>
  </w:style>
  <w:style w:type="paragraph" w:customStyle="1" w:styleId="Odstavecseseznamem1">
    <w:name w:val="Odstavec se seznamem1"/>
    <w:basedOn w:val="Normln"/>
    <w:uiPriority w:val="99"/>
    <w:rsid w:val="005A211A"/>
    <w:pPr>
      <w:ind w:left="72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86D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51889"/>
    <w:rPr>
      <w:color w:val="800080" w:themeColor="followedHyperlink"/>
      <w:u w:val="single"/>
    </w:rPr>
  </w:style>
  <w:style w:type="paragraph" w:customStyle="1" w:styleId="TabulkagrafobrzekVZ207Char">
    <w:name w:val="Tabulka graf obrázek VZ2 07 Char"/>
    <w:basedOn w:val="Normln"/>
    <w:next w:val="Normln"/>
    <w:uiPriority w:val="99"/>
    <w:rsid w:val="00616F7C"/>
    <w:pPr>
      <w:spacing w:before="480" w:after="120"/>
      <w:jc w:val="left"/>
    </w:pPr>
    <w:rPr>
      <w:rFonts w:ascii="Arial" w:eastAsia="Times New Roman" w:hAnsi="Arial" w:cs="Times New Roman"/>
      <w:i/>
      <w:szCs w:val="24"/>
      <w:lang w:eastAsia="cs-CZ"/>
    </w:rPr>
  </w:style>
  <w:style w:type="paragraph" w:customStyle="1" w:styleId="ZhlavtabulkyVZ207">
    <w:name w:val="Záhlaví tabulky VZ2 07"/>
    <w:basedOn w:val="Normln"/>
    <w:next w:val="Normln"/>
    <w:uiPriority w:val="99"/>
    <w:rsid w:val="00616F7C"/>
    <w:pPr>
      <w:spacing w:after="60"/>
      <w:jc w:val="center"/>
    </w:pPr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NormlntabulkyVZ207">
    <w:name w:val="Normální tabulky VZ2 07"/>
    <w:basedOn w:val="Normln"/>
    <w:next w:val="Normln"/>
    <w:uiPriority w:val="99"/>
    <w:rsid w:val="00616F7C"/>
    <w:pPr>
      <w:spacing w:after="60"/>
      <w:jc w:val="left"/>
    </w:pPr>
    <w:rPr>
      <w:rFonts w:ascii="Arial" w:eastAsia="Times New Roman" w:hAnsi="Arial" w:cs="Times New Roman"/>
      <w:szCs w:val="24"/>
      <w:lang w:eastAsia="cs-CZ"/>
    </w:rPr>
  </w:style>
  <w:style w:type="paragraph" w:customStyle="1" w:styleId="ZdrojpoznmkaVZ207">
    <w:name w:val="Zdroj poznámkaVZ2 07"/>
    <w:basedOn w:val="Normln"/>
    <w:next w:val="Normln"/>
    <w:link w:val="ZdrojpoznmkaVZ207Char"/>
    <w:uiPriority w:val="99"/>
    <w:rsid w:val="00616F7C"/>
    <w:pPr>
      <w:spacing w:before="120" w:after="480"/>
      <w:jc w:val="right"/>
    </w:pPr>
    <w:rPr>
      <w:rFonts w:ascii="Arial" w:eastAsia="Times New Roman" w:hAnsi="Arial" w:cs="Times New Roman"/>
      <w:i/>
      <w:sz w:val="20"/>
      <w:szCs w:val="24"/>
      <w:lang w:eastAsia="cs-CZ"/>
    </w:rPr>
  </w:style>
  <w:style w:type="character" w:customStyle="1" w:styleId="ZdrojpoznmkaVZ207Char">
    <w:name w:val="Zdroj poznámkaVZ2 07 Char"/>
    <w:link w:val="ZdrojpoznmkaVZ207"/>
    <w:uiPriority w:val="99"/>
    <w:rsid w:val="00616F7C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D61072"/>
    <w:rPr>
      <w:rFonts w:ascii="Times New Roman" w:hAnsi="Times New Roman" w:cs="Times New Roman"/>
      <w:b/>
      <w:iCs/>
      <w:color w:val="auto"/>
      <w:sz w:val="24"/>
    </w:rPr>
  </w:style>
  <w:style w:type="table" w:styleId="Mkatabulky">
    <w:name w:val="Table Grid"/>
    <w:basedOn w:val="Normlntabulka"/>
    <w:uiPriority w:val="39"/>
    <w:rsid w:val="0017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-E Fußnotenzeichen,Footnot #,Footnote,Footnote reference number,Footnote symbol,SUPERS,note TESI,number"/>
    <w:uiPriority w:val="99"/>
    <w:rsid w:val="007A1794"/>
    <w:rPr>
      <w:vertAlign w:val="superscript"/>
    </w:rPr>
  </w:style>
  <w:style w:type="paragraph" w:customStyle="1" w:styleId="Textodstavce">
    <w:name w:val="Text odstavce"/>
    <w:basedOn w:val="Normln"/>
    <w:uiPriority w:val="99"/>
    <w:rsid w:val="00CC4B67"/>
    <w:pPr>
      <w:tabs>
        <w:tab w:val="num" w:pos="360"/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ezmezer1">
    <w:name w:val="bezmezer1"/>
    <w:basedOn w:val="Bezmezer"/>
    <w:uiPriority w:val="99"/>
    <w:qFormat/>
    <w:rsid w:val="00C82F88"/>
    <w:rPr>
      <w:rFonts w:eastAsia="Calibri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3B2F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B2F04"/>
    <w:rPr>
      <w:sz w:val="16"/>
      <w:szCs w:val="16"/>
    </w:rPr>
  </w:style>
  <w:style w:type="paragraph" w:customStyle="1" w:styleId="normln0">
    <w:name w:val="normální"/>
    <w:basedOn w:val="Normln"/>
    <w:uiPriority w:val="99"/>
    <w:rsid w:val="003B2F04"/>
    <w:pPr>
      <w:spacing w:after="200" w:line="276" w:lineRule="auto"/>
    </w:pPr>
    <w:rPr>
      <w:rFonts w:ascii="Times New Roman" w:eastAsia="Calibri" w:hAnsi="Times New Roman" w:cs="Times New Roman"/>
      <w:szCs w:val="24"/>
    </w:rPr>
  </w:style>
  <w:style w:type="paragraph" w:styleId="Titulek">
    <w:name w:val="caption"/>
    <w:aliases w:val=" Char,Char"/>
    <w:basedOn w:val="Normln"/>
    <w:next w:val="Normln"/>
    <w:link w:val="TitulekChar"/>
    <w:uiPriority w:val="99"/>
    <w:qFormat/>
    <w:rsid w:val="00686A0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eastAsia="Times New Roman" w:hAnsi="Arial Narrow" w:cs="Times New Roman"/>
      <w:b/>
      <w:iCs/>
      <w:sz w:val="16"/>
      <w:szCs w:val="24"/>
      <w:lang w:val="x-none" w:eastAsia="x-none"/>
    </w:rPr>
  </w:style>
  <w:style w:type="character" w:customStyle="1" w:styleId="TitulekChar">
    <w:name w:val="Titulek Char"/>
    <w:aliases w:val=" Char Char,Char Char"/>
    <w:link w:val="Titulek"/>
    <w:uiPriority w:val="99"/>
    <w:rsid w:val="00686A09"/>
    <w:rPr>
      <w:rFonts w:ascii="Arial Narrow" w:eastAsia="Times New Roman" w:hAnsi="Arial Narrow" w:cs="Times New Roman"/>
      <w:b/>
      <w:iCs/>
      <w:sz w:val="16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636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636C7"/>
  </w:style>
  <w:style w:type="paragraph" w:customStyle="1" w:styleId="Tabulka">
    <w:name w:val="Tabulka"/>
    <w:basedOn w:val="Normln"/>
    <w:uiPriority w:val="99"/>
    <w:rsid w:val="007F3B0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b/>
      <w:kern w:val="28"/>
      <w:lang w:eastAsia="cs-CZ"/>
    </w:rPr>
  </w:style>
  <w:style w:type="paragraph" w:customStyle="1" w:styleId="normln1">
    <w:name w:val="normální1"/>
    <w:basedOn w:val="Normln"/>
    <w:uiPriority w:val="99"/>
    <w:rsid w:val="000D0E84"/>
    <w:pPr>
      <w:spacing w:after="200" w:line="276" w:lineRule="auto"/>
      <w:ind w:right="70"/>
    </w:pPr>
    <w:rPr>
      <w:rFonts w:ascii="Times New Roman" w:eastAsia="Calibri" w:hAnsi="Times New Roman" w:cs="Times New Roman"/>
      <w:szCs w:val="24"/>
      <w:lang w:eastAsia="cs-CZ"/>
    </w:rPr>
  </w:style>
  <w:style w:type="paragraph" w:customStyle="1" w:styleId="nadpis10">
    <w:name w:val="nadpis1"/>
    <w:basedOn w:val="Normln"/>
    <w:uiPriority w:val="99"/>
    <w:qFormat/>
    <w:rsid w:val="00626E4A"/>
    <w:pPr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color w:val="000000"/>
      <w:sz w:val="32"/>
      <w:szCs w:val="32"/>
      <w:lang w:eastAsia="cs-CZ"/>
    </w:rPr>
  </w:style>
  <w:style w:type="paragraph" w:customStyle="1" w:styleId="nadpis30">
    <w:name w:val="nadpis3"/>
    <w:basedOn w:val="Nadpis3"/>
    <w:next w:val="Normln"/>
    <w:uiPriority w:val="99"/>
    <w:qFormat/>
    <w:rsid w:val="00EF445D"/>
    <w:pPr>
      <w:spacing w:before="240"/>
      <w:ind w:left="850"/>
    </w:pPr>
  </w:style>
  <w:style w:type="paragraph" w:customStyle="1" w:styleId="nadpis40">
    <w:name w:val="nadpis4"/>
    <w:basedOn w:val="Normln"/>
    <w:uiPriority w:val="99"/>
    <w:qFormat/>
    <w:rsid w:val="00626E4A"/>
    <w:pPr>
      <w:ind w:left="1080" w:hanging="1080"/>
    </w:pPr>
    <w:rPr>
      <w:rFonts w:ascii="Arial" w:eastAsia="Times New Roman" w:hAnsi="Arial" w:cs="Arial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0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C29"/>
  </w:style>
  <w:style w:type="paragraph" w:customStyle="1" w:styleId="side-banner">
    <w:name w:val="side-banner"/>
    <w:basedOn w:val="Normln"/>
    <w:uiPriority w:val="99"/>
    <w:rsid w:val="0094452E"/>
    <w:pPr>
      <w:spacing w:after="6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74780"/>
    <w:pPr>
      <w:ind w:left="426" w:hanging="426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747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uiPriority w:val="99"/>
    <w:semiHidden/>
    <w:rsid w:val="00974780"/>
    <w:pPr>
      <w:ind w:left="708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ismovtabulce">
    <w:name w:val="pismo v tabulce"/>
    <w:basedOn w:val="Normln"/>
    <w:autoRedefine/>
    <w:uiPriority w:val="99"/>
    <w:semiHidden/>
    <w:rsid w:val="00974780"/>
    <w:pPr>
      <w:keepNext/>
      <w:overflowPunct w:val="0"/>
      <w:autoSpaceDE w:val="0"/>
      <w:autoSpaceDN w:val="0"/>
      <w:adjustRightInd w:val="0"/>
      <w:snapToGrid w:val="0"/>
      <w:jc w:val="left"/>
    </w:pPr>
    <w:rPr>
      <w:rFonts w:ascii="Times New Roman" w:eastAsia="Times New Roman" w:hAnsi="Times New Roman" w:cs="Times New Roman"/>
      <w:i/>
      <w:szCs w:val="24"/>
      <w:lang w:eastAsia="cs-CZ"/>
    </w:rPr>
  </w:style>
  <w:style w:type="paragraph" w:customStyle="1" w:styleId="CM4">
    <w:name w:val="CM4"/>
    <w:basedOn w:val="Normln"/>
    <w:next w:val="Normln"/>
    <w:uiPriority w:val="99"/>
    <w:semiHidden/>
    <w:rsid w:val="00974780"/>
    <w:pPr>
      <w:autoSpaceDE w:val="0"/>
      <w:autoSpaceDN w:val="0"/>
      <w:adjustRightInd w:val="0"/>
      <w:jc w:val="left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CM1">
    <w:name w:val="CM1"/>
    <w:basedOn w:val="Normln"/>
    <w:next w:val="Normln"/>
    <w:uiPriority w:val="99"/>
    <w:rsid w:val="00974780"/>
    <w:pPr>
      <w:autoSpaceDE w:val="0"/>
      <w:autoSpaceDN w:val="0"/>
      <w:adjustRightInd w:val="0"/>
      <w:jc w:val="left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CM3">
    <w:name w:val="CM3"/>
    <w:basedOn w:val="Default"/>
    <w:next w:val="Default"/>
    <w:uiPriority w:val="99"/>
    <w:semiHidden/>
    <w:rsid w:val="00974780"/>
    <w:rPr>
      <w:rFonts w:ascii="EUAlbertina" w:eastAsia="MS Mincho" w:hAnsi="EUAlbertina" w:cs="Times New Roman"/>
      <w:color w:val="auto"/>
      <w:lang w:eastAsia="ja-JP"/>
    </w:rPr>
  </w:style>
  <w:style w:type="paragraph" w:customStyle="1" w:styleId="Titreobjet">
    <w:name w:val="Titre objet"/>
    <w:basedOn w:val="Normln"/>
    <w:next w:val="Normln"/>
    <w:uiPriority w:val="99"/>
    <w:semiHidden/>
    <w:rsid w:val="00974780"/>
    <w:pPr>
      <w:spacing w:before="360" w:after="360"/>
      <w:jc w:val="center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Datedadoption">
    <w:name w:val="Date d'adoption"/>
    <w:basedOn w:val="Normln"/>
    <w:next w:val="Titreobjet"/>
    <w:uiPriority w:val="99"/>
    <w:semiHidden/>
    <w:rsid w:val="00974780"/>
    <w:pPr>
      <w:spacing w:before="360"/>
      <w:jc w:val="center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Typedudocument">
    <w:name w:val="Type du document"/>
    <w:basedOn w:val="Normln"/>
    <w:next w:val="Titreobjet"/>
    <w:uiPriority w:val="99"/>
    <w:semiHidden/>
    <w:rsid w:val="00974780"/>
    <w:pPr>
      <w:spacing w:before="360"/>
      <w:jc w:val="center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nadpistabulky">
    <w:name w:val="nadpis tabulky"/>
    <w:basedOn w:val="pismovtabulce"/>
    <w:autoRedefine/>
    <w:uiPriority w:val="99"/>
    <w:semiHidden/>
    <w:rsid w:val="00974780"/>
    <w:rPr>
      <w:b/>
    </w:rPr>
  </w:style>
  <w:style w:type="character" w:customStyle="1" w:styleId="h1a1">
    <w:name w:val="h1a1"/>
    <w:basedOn w:val="Standardnpsmoodstavce"/>
    <w:uiPriority w:val="99"/>
    <w:rsid w:val="004564BC"/>
    <w:rPr>
      <w:vanish w:val="0"/>
      <w:webHidden w:val="0"/>
      <w:sz w:val="24"/>
      <w:szCs w:val="24"/>
      <w:specVanish w:val="0"/>
    </w:rPr>
  </w:style>
  <w:style w:type="character" w:customStyle="1" w:styleId="longtext">
    <w:name w:val="long_text"/>
    <w:basedOn w:val="Standardnpsmoodstavce"/>
    <w:uiPriority w:val="99"/>
    <w:rsid w:val="0017613B"/>
  </w:style>
  <w:style w:type="character" w:customStyle="1" w:styleId="hps">
    <w:name w:val="hps"/>
    <w:basedOn w:val="Standardnpsmoodstavce"/>
    <w:uiPriority w:val="99"/>
    <w:rsid w:val="0017613B"/>
  </w:style>
  <w:style w:type="paragraph" w:customStyle="1" w:styleId="Odstavecseseznamem2">
    <w:name w:val="Odstavec se seznamem2"/>
    <w:basedOn w:val="Normln"/>
    <w:uiPriority w:val="99"/>
    <w:rsid w:val="004D628B"/>
    <w:pPr>
      <w:ind w:left="720"/>
    </w:pPr>
    <w:rPr>
      <w:rFonts w:ascii="Calibri" w:eastAsia="Times New Roman" w:hAnsi="Calibri" w:cs="Times New Roman"/>
    </w:rPr>
  </w:style>
  <w:style w:type="paragraph" w:customStyle="1" w:styleId="Styl1">
    <w:name w:val="Styl1"/>
    <w:basedOn w:val="Normln"/>
    <w:uiPriority w:val="99"/>
    <w:rsid w:val="002C0847"/>
    <w:pPr>
      <w:spacing w:before="120" w:after="120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C442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C442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C4422"/>
    <w:rPr>
      <w:vertAlign w:val="superscript"/>
    </w:rPr>
  </w:style>
  <w:style w:type="character" w:customStyle="1" w:styleId="okbasic21">
    <w:name w:val="okbasic21"/>
    <w:basedOn w:val="Standardnpsmoodstavce"/>
    <w:uiPriority w:val="99"/>
    <w:rsid w:val="00761898"/>
    <w:rPr>
      <w:rFonts w:ascii="Arial" w:hAnsi="Arial" w:cs="Arial" w:hint="default"/>
      <w:color w:val="000000"/>
      <w:sz w:val="24"/>
      <w:szCs w:val="24"/>
    </w:rPr>
  </w:style>
  <w:style w:type="character" w:customStyle="1" w:styleId="st">
    <w:name w:val="st"/>
    <w:basedOn w:val="Standardnpsmoodstavce"/>
    <w:uiPriority w:val="99"/>
    <w:rsid w:val="00FC6778"/>
  </w:style>
  <w:style w:type="paragraph" w:customStyle="1" w:styleId="Zkladntextodsazen1">
    <w:name w:val="Základní text odsazený1"/>
    <w:basedOn w:val="Normln"/>
    <w:uiPriority w:val="99"/>
    <w:rsid w:val="00AC1F41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xBrp8">
    <w:name w:val="TxBr_p8"/>
    <w:basedOn w:val="Normln"/>
    <w:uiPriority w:val="99"/>
    <w:rsid w:val="003F5226"/>
    <w:pPr>
      <w:widowControl w:val="0"/>
      <w:tabs>
        <w:tab w:val="left" w:pos="1088"/>
      </w:tabs>
      <w:autoSpaceDE w:val="0"/>
      <w:autoSpaceDN w:val="0"/>
      <w:adjustRightInd w:val="0"/>
      <w:spacing w:line="283" w:lineRule="atLeast"/>
      <w:ind w:left="24" w:hanging="1088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customStyle="1" w:styleId="NormalNumber1Bullet1">
    <w:name w:val="Normal Number 1 Bullet 1"/>
    <w:basedOn w:val="Normln"/>
    <w:uiPriority w:val="99"/>
    <w:rsid w:val="00897118"/>
    <w:pPr>
      <w:numPr>
        <w:numId w:val="3"/>
      </w:numPr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40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4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A2656E"/>
  </w:style>
  <w:style w:type="paragraph" w:styleId="Nzev">
    <w:name w:val="Title"/>
    <w:basedOn w:val="Normln"/>
    <w:next w:val="Podnadpis"/>
    <w:link w:val="NzevChar"/>
    <w:qFormat/>
    <w:rsid w:val="00CE04B2"/>
    <w:pPr>
      <w:suppressAutoHyphens/>
      <w:spacing w:before="120"/>
      <w:jc w:val="center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04B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uiPriority w:val="11"/>
    <w:rsid w:val="00CE0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NzevChar">
    <w:name w:val="Název Char"/>
    <w:basedOn w:val="Standardnpsmoodstavce"/>
    <w:link w:val="Nzev"/>
    <w:rsid w:val="00CE04B2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customStyle="1" w:styleId="HLAVICKA">
    <w:name w:val="HLAVICKA"/>
    <w:basedOn w:val="Normln"/>
    <w:uiPriority w:val="99"/>
    <w:rsid w:val="00CE04B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CE04B2"/>
    <w:rPr>
      <w:color w:val="808080"/>
    </w:rPr>
  </w:style>
  <w:style w:type="paragraph" w:customStyle="1" w:styleId="Popisky">
    <w:name w:val="Popisky"/>
    <w:basedOn w:val="Normln"/>
    <w:next w:val="Normln"/>
    <w:qFormat/>
    <w:rsid w:val="00CE04B2"/>
    <w:pPr>
      <w:spacing w:line="360" w:lineRule="auto"/>
      <w:jc w:val="left"/>
    </w:pPr>
    <w:rPr>
      <w:rFonts w:ascii="Times New Roman" w:hAnsi="Times New Roman"/>
      <w:i/>
      <w:sz w:val="20"/>
    </w:rPr>
  </w:style>
  <w:style w:type="paragraph" w:customStyle="1" w:styleId="font5">
    <w:name w:val="font5"/>
    <w:basedOn w:val="Normln"/>
    <w:rsid w:val="00CE04B2"/>
    <w:pPr>
      <w:spacing w:before="100" w:beforeAutospacing="1" w:after="100" w:afterAutospacing="1"/>
      <w:jc w:val="left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xl65">
    <w:name w:val="xl65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69">
    <w:name w:val="xl69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6">
    <w:name w:val="xl76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3F3F4A"/>
      <w:sz w:val="20"/>
      <w:szCs w:val="20"/>
      <w:lang w:eastAsia="cs-CZ"/>
    </w:rPr>
  </w:style>
  <w:style w:type="paragraph" w:customStyle="1" w:styleId="xl77">
    <w:name w:val="xl77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3F3F4A"/>
      <w:sz w:val="20"/>
      <w:szCs w:val="20"/>
      <w:lang w:eastAsia="cs-CZ"/>
    </w:rPr>
  </w:style>
  <w:style w:type="paragraph" w:customStyle="1" w:styleId="xl78">
    <w:name w:val="xl78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CE0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droje">
    <w:name w:val="Zdroje"/>
    <w:basedOn w:val="Normln"/>
    <w:next w:val="Normln"/>
    <w:rsid w:val="00CE04B2"/>
    <w:pPr>
      <w:spacing w:after="240"/>
      <w:jc w:val="left"/>
    </w:pPr>
    <w:rPr>
      <w:rFonts w:ascii="Times New Roman" w:eastAsia="Times New Roman" w:hAnsi="Times New Roman" w:cs="Times New Roman"/>
      <w:i/>
      <w:sz w:val="16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CE04B2"/>
    <w:pPr>
      <w:spacing w:line="276" w:lineRule="auto"/>
    </w:pPr>
    <w:rPr>
      <w:rFonts w:eastAsiaTheme="minorEastAsia"/>
      <w:sz w:val="22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0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04B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ovnice">
    <w:name w:val="Rovnice"/>
    <w:basedOn w:val="Normln"/>
    <w:qFormat/>
    <w:rsid w:val="00CE04B2"/>
    <w:pPr>
      <w:tabs>
        <w:tab w:val="right" w:pos="9072"/>
      </w:tabs>
      <w:spacing w:after="200" w:line="276" w:lineRule="auto"/>
      <w:jc w:val="center"/>
    </w:pPr>
    <w:rPr>
      <w:rFonts w:eastAsiaTheme="minorEastAsia"/>
      <w:iCs/>
      <w:sz w:val="22"/>
      <w:lang w:eastAsia="cs-CZ"/>
    </w:rPr>
  </w:style>
  <w:style w:type="paragraph" w:styleId="Revize">
    <w:name w:val="Revision"/>
    <w:hidden/>
    <w:uiPriority w:val="99"/>
    <w:semiHidden/>
    <w:rsid w:val="00D07907"/>
    <w:pPr>
      <w:spacing w:after="0" w:line="240" w:lineRule="auto"/>
    </w:pPr>
    <w:rPr>
      <w:sz w:val="24"/>
    </w:rPr>
  </w:style>
  <w:style w:type="character" w:customStyle="1" w:styleId="shorttext">
    <w:name w:val="short_text"/>
    <w:basedOn w:val="Standardnpsmoodstavce"/>
    <w:rsid w:val="008E51AE"/>
  </w:style>
  <w:style w:type="paragraph" w:customStyle="1" w:styleId="Odrka">
    <w:name w:val="Odrážka"/>
    <w:basedOn w:val="Odstavecseseznamem"/>
    <w:link w:val="OdrkaChar"/>
    <w:qFormat/>
    <w:rsid w:val="002B2EFE"/>
    <w:pPr>
      <w:widowControl w:val="0"/>
      <w:autoSpaceDE w:val="0"/>
      <w:autoSpaceDN w:val="0"/>
      <w:ind w:hanging="360"/>
    </w:pPr>
    <w:rPr>
      <w:rFonts w:eastAsia="Graphik LG Regular" w:cs="Graphik LG Regular"/>
      <w:sz w:val="22"/>
    </w:rPr>
  </w:style>
  <w:style w:type="character" w:customStyle="1" w:styleId="OdrkaChar">
    <w:name w:val="Odrážka Char"/>
    <w:basedOn w:val="Standardnpsmoodstavce"/>
    <w:link w:val="Odrka"/>
    <w:rsid w:val="002B2EFE"/>
    <w:rPr>
      <w:rFonts w:eastAsia="Graphik LG Regular" w:cs="Graphik LG Regular"/>
    </w:rPr>
  </w:style>
  <w:style w:type="paragraph" w:customStyle="1" w:styleId="Odrka2">
    <w:name w:val="Odrážka 2"/>
    <w:basedOn w:val="Odrka"/>
    <w:uiPriority w:val="1"/>
    <w:qFormat/>
    <w:rsid w:val="002B2EFE"/>
    <w:pPr>
      <w:ind w:left="1080" w:hanging="720"/>
    </w:pPr>
  </w:style>
  <w:style w:type="table" w:styleId="Tabulkasmkou2zvraznn3">
    <w:name w:val="Grid Table 2 Accent 3"/>
    <w:basedOn w:val="Normlntabulka"/>
    <w:uiPriority w:val="47"/>
    <w:rsid w:val="006718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F5B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Grafickprvek">
    <w:name w:val="Grafický prvek"/>
    <w:basedOn w:val="Normln"/>
    <w:link w:val="GrafickprvekChar"/>
    <w:uiPriority w:val="1"/>
    <w:qFormat/>
    <w:rsid w:val="00A37D37"/>
    <w:pPr>
      <w:widowControl w:val="0"/>
      <w:autoSpaceDE w:val="0"/>
      <w:autoSpaceDN w:val="0"/>
      <w:spacing w:before="120"/>
    </w:pPr>
    <w:rPr>
      <w:rFonts w:eastAsia="Graphik LG Regular" w:cs="Graphik LG Regular"/>
      <w:b/>
      <w:color w:val="C15811"/>
      <w:sz w:val="22"/>
    </w:rPr>
  </w:style>
  <w:style w:type="paragraph" w:customStyle="1" w:styleId="GObr">
    <w:name w:val="G_Obr"/>
    <w:basedOn w:val="Normln"/>
    <w:link w:val="GObrChar"/>
    <w:uiPriority w:val="1"/>
    <w:qFormat/>
    <w:rsid w:val="00A37D37"/>
    <w:pPr>
      <w:widowControl w:val="0"/>
      <w:autoSpaceDE w:val="0"/>
      <w:autoSpaceDN w:val="0"/>
      <w:spacing w:before="120"/>
    </w:pPr>
    <w:rPr>
      <w:rFonts w:eastAsia="Graphik LG Regular" w:cs="Graphik LG Regular"/>
      <w:b/>
      <w:sz w:val="22"/>
      <w:u w:val="single"/>
    </w:rPr>
  </w:style>
  <w:style w:type="character" w:customStyle="1" w:styleId="GrafickprvekChar">
    <w:name w:val="Grafický prvek Char"/>
    <w:basedOn w:val="Standardnpsmoodstavce"/>
    <w:link w:val="Grafickprvek"/>
    <w:uiPriority w:val="1"/>
    <w:rsid w:val="00A37D37"/>
    <w:rPr>
      <w:rFonts w:eastAsia="Graphik LG Regular" w:cs="Graphik LG Regular"/>
      <w:b/>
      <w:color w:val="C15811"/>
    </w:rPr>
  </w:style>
  <w:style w:type="character" w:customStyle="1" w:styleId="GObrChar">
    <w:name w:val="G_Obr Char"/>
    <w:basedOn w:val="Standardnpsmoodstavce"/>
    <w:link w:val="GObr"/>
    <w:uiPriority w:val="1"/>
    <w:rsid w:val="00A37D37"/>
    <w:rPr>
      <w:rFonts w:eastAsia="Graphik LG Regular" w:cs="Graphik LG Regular"/>
      <w:b/>
      <w:u w:val="single"/>
    </w:rPr>
  </w:style>
  <w:style w:type="paragraph" w:customStyle="1" w:styleId="Zdroj">
    <w:name w:val="Zdroj"/>
    <w:basedOn w:val="Normln"/>
    <w:link w:val="ZdrojChar"/>
    <w:uiPriority w:val="1"/>
    <w:qFormat/>
    <w:rsid w:val="00A37D37"/>
    <w:pPr>
      <w:widowControl w:val="0"/>
      <w:autoSpaceDE w:val="0"/>
      <w:autoSpaceDN w:val="0"/>
      <w:spacing w:before="120"/>
      <w:jc w:val="right"/>
    </w:pPr>
    <w:rPr>
      <w:rFonts w:eastAsia="Graphik LG Regular" w:cs="Graphik LG Regular"/>
      <w:i/>
      <w:sz w:val="18"/>
      <w:szCs w:val="18"/>
    </w:rPr>
  </w:style>
  <w:style w:type="character" w:customStyle="1" w:styleId="ZdrojChar">
    <w:name w:val="Zdroj Char"/>
    <w:basedOn w:val="Standardnpsmoodstavce"/>
    <w:link w:val="Zdroj"/>
    <w:uiPriority w:val="1"/>
    <w:rsid w:val="00A37D37"/>
    <w:rPr>
      <w:rFonts w:eastAsia="Graphik LG Regular" w:cs="Graphik LG Regular"/>
      <w:i/>
      <w:sz w:val="18"/>
      <w:szCs w:val="18"/>
    </w:rPr>
  </w:style>
  <w:style w:type="paragraph" w:customStyle="1" w:styleId="Poznmka">
    <w:name w:val="Poznámka"/>
    <w:basedOn w:val="Normln"/>
    <w:link w:val="PoznmkaChar"/>
    <w:uiPriority w:val="1"/>
    <w:qFormat/>
    <w:rsid w:val="00A03A21"/>
    <w:pPr>
      <w:widowControl w:val="0"/>
      <w:autoSpaceDE w:val="0"/>
      <w:autoSpaceDN w:val="0"/>
      <w:spacing w:before="40"/>
    </w:pPr>
    <w:rPr>
      <w:rFonts w:eastAsia="Graphik LG Regular" w:cs="Graphik LG Regular"/>
      <w:i/>
      <w:sz w:val="22"/>
    </w:rPr>
  </w:style>
  <w:style w:type="character" w:customStyle="1" w:styleId="PoznmkaChar">
    <w:name w:val="Poznámka Char"/>
    <w:basedOn w:val="Standardnpsmoodstavce"/>
    <w:link w:val="Poznmka"/>
    <w:uiPriority w:val="1"/>
    <w:rsid w:val="00A03A21"/>
    <w:rPr>
      <w:rFonts w:eastAsia="Graphik LG Regular" w:cs="Graphik LG Regular"/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viweb.cz" TargetMode="External"/><Relationship Id="rId21" Type="http://schemas.openxmlformats.org/officeDocument/2006/relationships/hyperlink" Target="https://www.dostbyloplastu.cz/" TargetMode="External"/><Relationship Id="rId42" Type="http://schemas.openxmlformats.org/officeDocument/2006/relationships/hyperlink" Target="https://zachranjidlo.cz/redpot/" TargetMode="External"/><Relationship Id="rId47" Type="http://schemas.openxmlformats.org/officeDocument/2006/relationships/hyperlink" Target="https://udrzitelnypalacky.upol.cz/dolej-si/" TargetMode="External"/><Relationship Id="rId63" Type="http://schemas.openxmlformats.org/officeDocument/2006/relationships/hyperlink" Target="http://odpady.kr-stredocesky.cz" TargetMode="External"/><Relationship Id="rId68" Type="http://schemas.openxmlformats.org/officeDocument/2006/relationships/hyperlink" Target="https://starfos.tacr.cz/cs/project/TIRSMZP719?query_code=vpqiaacijiea" TargetMode="External"/><Relationship Id="rId16" Type="http://schemas.openxmlformats.org/officeDocument/2006/relationships/chart" Target="charts/chart5.xml"/><Relationship Id="rId11" Type="http://schemas.openxmlformats.org/officeDocument/2006/relationships/image" Target="media/image2.png"/><Relationship Id="rId24" Type="http://schemas.openxmlformats.org/officeDocument/2006/relationships/hyperlink" Target="http://www.tretiruka.cz/media-a-odpady/predchazeni-vzniku-odpadu" TargetMode="External"/><Relationship Id="rId32" Type="http://schemas.openxmlformats.org/officeDocument/2006/relationships/hyperlink" Target="https://www.mojeodpadky.cz/sleva-za-trideni/" TargetMode="External"/><Relationship Id="rId37" Type="http://schemas.openxmlformats.org/officeDocument/2006/relationships/hyperlink" Target="https://www.facebook.com/events/303039344297372?acontext=%7B%22action_history%22%3A%5b%7B%22surface%22%3A%22page%22%2C%22mechanism%22%3A%22page_admin_bar%22%2C%22extra_data%22%3A%22%7B%5C%22page_id%5C%22%3A538414059636028%7D%22%7D%2C%7B%22surface%22%3A%22events_admin_tool%22%2C%22mechanism%22%3A%22events_admin_tool%22%2C%22extra_data%22%3A%22%5b%5d%22%7D%5d%2C%22has_source%22%3Atrue%7D" TargetMode="External"/><Relationship Id="rId40" Type="http://schemas.openxmlformats.org/officeDocument/2006/relationships/hyperlink" Target="https://www.nsp.cz/" TargetMode="External"/><Relationship Id="rId45" Type="http://schemas.openxmlformats.org/officeDocument/2006/relationships/hyperlink" Target="https://nesnezeno.cz/" TargetMode="External"/><Relationship Id="rId53" Type="http://schemas.openxmlformats.org/officeDocument/2006/relationships/hyperlink" Target="https://www.ipur.cz/projekty/neni-pytlik-jako-pytlik/" TargetMode="External"/><Relationship Id="rId58" Type="http://schemas.openxmlformats.org/officeDocument/2006/relationships/hyperlink" Target="https://www.ikea.com/cz/cs/this-is-ikea/sustainable-everyday/vitejte-v-circular-hub-na-miste-kde-nasim-vyrobkum-davame-druhy-zivot-pubb1bc1360" TargetMode="External"/><Relationship Id="rId66" Type="http://schemas.openxmlformats.org/officeDocument/2006/relationships/hyperlink" Target="https://www.isvavai.cz/cep?s=rozsirene-vyhledavani&amp;ss=detail&amp;n=0&amp;h=TL02000092" TargetMode="External"/><Relationship Id="rId74" Type="http://schemas.openxmlformats.org/officeDocument/2006/relationships/hyperlink" Target="https://starfos.tacr.cz/cs/project/EG19_262%2F0020353?query_code=quyqaacntapq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obhjmk.cz/" TargetMode="External"/><Relationship Id="rId19" Type="http://schemas.openxmlformats.org/officeDocument/2006/relationships/hyperlink" Target="https://www.recyklohrani.cz/cs/ekoabeceda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cr2030.cz" TargetMode="External"/><Relationship Id="rId27" Type="http://schemas.openxmlformats.org/officeDocument/2006/relationships/hyperlink" Target="https://zijudrzitelne.bezobalu.org/" TargetMode="External"/><Relationship Id="rId30" Type="http://schemas.openxmlformats.org/officeDocument/2006/relationships/hyperlink" Target="https://hub.cirkularnicesko.cz" TargetMode="External"/><Relationship Id="rId35" Type="http://schemas.openxmlformats.org/officeDocument/2006/relationships/hyperlink" Target="https://www.druhyzivotnabytku.cz/" TargetMode="External"/><Relationship Id="rId43" Type="http://schemas.openxmlformats.org/officeDocument/2006/relationships/hyperlink" Target="http://www.potravinovabanka.cz" TargetMode="External"/><Relationship Id="rId48" Type="http://schemas.openxmlformats.org/officeDocument/2006/relationships/hyperlink" Target="https://www.kompostuj.cz/" TargetMode="External"/><Relationship Id="rId56" Type="http://schemas.openxmlformats.org/officeDocument/2006/relationships/hyperlink" Target="https://praho.nevyhazujto.cz/" TargetMode="External"/><Relationship Id="rId64" Type="http://schemas.openxmlformats.org/officeDocument/2006/relationships/hyperlink" Target="https://www.isvavai.cz/cep?s=rozsirene-vyhledavani&amp;ss=detail&amp;n=0&amp;h=TL02000092" TargetMode="External"/><Relationship Id="rId69" Type="http://schemas.openxmlformats.org/officeDocument/2006/relationships/hyperlink" Target="https://www.isvavai.cz/cep?s=rozsirene-vyhledavani&amp;ss=detail&amp;n=0&amp;h=SS01020312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zpokojedopokoje.cz/" TargetMode="External"/><Relationship Id="rId72" Type="http://schemas.openxmlformats.org/officeDocument/2006/relationships/hyperlink" Target="https://www.isvavai.cz/cea?s=programy&amp;ss=detail&amp;n=0&amp;h=SS" TargetMode="External"/><Relationship Id="rId3" Type="http://schemas.openxmlformats.org/officeDocument/2006/relationships/numbering" Target="numbering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hyperlink" Target="http://pvo.arnika.org/" TargetMode="External"/><Relationship Id="rId33" Type="http://schemas.openxmlformats.org/officeDocument/2006/relationships/hyperlink" Target="https://udrzitelnypalacky.upol.cz/dolej-si/" TargetMode="External"/><Relationship Id="rId38" Type="http://schemas.openxmlformats.org/officeDocument/2006/relationships/hyperlink" Target="https://www.cyrkl.com/cs/" TargetMode="External"/><Relationship Id="rId46" Type="http://schemas.openxmlformats.org/officeDocument/2006/relationships/hyperlink" Target="https://www.jidlov.cz" TargetMode="External"/><Relationship Id="rId59" Type="http://schemas.openxmlformats.org/officeDocument/2006/relationships/hyperlink" Target="https://www.cyrkl.com/cs/" TargetMode="External"/><Relationship Id="rId67" Type="http://schemas.openxmlformats.org/officeDocument/2006/relationships/hyperlink" Target="https://www.isvavai.cz/cea?s=programy&amp;ss=detail&amp;n=0&amp;h=TL" TargetMode="External"/><Relationship Id="rId20" Type="http://schemas.openxmlformats.org/officeDocument/2006/relationships/hyperlink" Target="https://www.potravinyav21.cz/data/files/818/818_1484_Prevencevzniku-potravinoveho-odpadu.ZimovaA.pdf" TargetMode="External"/><Relationship Id="rId41" Type="http://schemas.openxmlformats.org/officeDocument/2006/relationships/hyperlink" Target="http://www.recyklujmestavby.cz/" TargetMode="External"/><Relationship Id="rId54" Type="http://schemas.openxmlformats.org/officeDocument/2006/relationships/hyperlink" Target="https://www.ipur.cz/projekty/spolecne-za-mensi-spotrebu/" TargetMode="External"/><Relationship Id="rId62" Type="http://schemas.openxmlformats.org/officeDocument/2006/relationships/hyperlink" Target="https://vysocina.trideni.cz/" TargetMode="External"/><Relationship Id="rId70" Type="http://schemas.openxmlformats.org/officeDocument/2006/relationships/hyperlink" Target="https://www.isvavai.cz/cea?s=programy&amp;ss=detail&amp;n=0&amp;h=SS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s://www.mzp.cz/C1257458002F0DC7/cz/news_studie-prechodu-z-jednorazovych-na-opakovane-pouzitelne-obaly/$FILE/Pripadova-studie-farmarske-trhy.pdf" TargetMode="External"/><Relationship Id="rId28" Type="http://schemas.openxmlformats.org/officeDocument/2006/relationships/hyperlink" Target="https://www.potravinynejsouodpad.cz/" TargetMode="External"/><Relationship Id="rId36" Type="http://schemas.openxmlformats.org/officeDocument/2006/relationships/hyperlink" Target="https://www.swapprague.cz/" TargetMode="External"/><Relationship Id="rId49" Type="http://schemas.openxmlformats.org/officeDocument/2006/relationships/hyperlink" Target="https://kokoza.cz/projekty/informacni-kampan-zijukompostyl/" TargetMode="External"/><Relationship Id="rId57" Type="http://schemas.openxmlformats.org/officeDocument/2006/relationships/hyperlink" Target="https://www.druhyzivotnabytku.cz/" TargetMode="External"/><Relationship Id="rId10" Type="http://schemas.openxmlformats.org/officeDocument/2006/relationships/chart" Target="charts/chart1.xml"/><Relationship Id="rId31" Type="http://schemas.openxmlformats.org/officeDocument/2006/relationships/hyperlink" Target="https://redpot.strast.cz/cs" TargetMode="External"/><Relationship Id="rId44" Type="http://schemas.openxmlformats.org/officeDocument/2006/relationships/hyperlink" Target="https://dobropolnici.mailchimpsites.com/" TargetMode="External"/><Relationship Id="rId52" Type="http://schemas.openxmlformats.org/officeDocument/2006/relationships/hyperlink" Target="https://www.swapprague.cz/" TargetMode="External"/><Relationship Id="rId60" Type="http://schemas.openxmlformats.org/officeDocument/2006/relationships/hyperlink" Target="http://www.zrecyklujto.cz" TargetMode="External"/><Relationship Id="rId65" Type="http://schemas.openxmlformats.org/officeDocument/2006/relationships/hyperlink" Target="https://www.isvavai.cz/cea?s=programy&amp;ss=detail&amp;n=0&amp;h=TL" TargetMode="External"/><Relationship Id="rId73" Type="http://schemas.openxmlformats.org/officeDocument/2006/relationships/hyperlink" Target="https://www.isvavai.cz/cea?s=programy&amp;ss=detail&amp;n=0&amp;h=SS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://obhjmk.cz/" TargetMode="External"/><Relationship Id="rId39" Type="http://schemas.openxmlformats.org/officeDocument/2006/relationships/hyperlink" Target="http://www.recyklujmestavby.cz/" TargetMode="External"/><Relationship Id="rId34" Type="http://schemas.openxmlformats.org/officeDocument/2006/relationships/hyperlink" Target="https://www.trashhero.cz/" TargetMode="External"/><Relationship Id="rId50" Type="http://schemas.openxmlformats.org/officeDocument/2006/relationships/hyperlink" Target="https://zijudrzitelne.bezobalu.org/" TargetMode="External"/><Relationship Id="rId55" Type="http://schemas.openxmlformats.org/officeDocument/2006/relationships/hyperlink" Target="https://www.ipur.cz/projekty/obalova-vyzva/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starfos.tacr.cz/cs/project/SS01020524?query_code=vpqiaacijie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zachranjidlo.cz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_Bulkova\ZPR&#193;VA%20o%20&#382;ivot%20prost&#345;ed&#237;\DATA_EXCEL_GRAFY\Zpr&#225;va2020_Produkce%20odpadu!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_Bulkova\ZPR&#193;VA%20o%20&#382;ivot%20prost&#345;ed&#237;\DATA_EXCEL_GRAFY\Zpr&#225;va2020_Struktura%20nakladani%20s%20odp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_Bulkova\ZPR&#193;VA%20o%20&#382;ivot%20prost&#345;ed&#237;\DATA_EXCEL_GRAFY\Zpr&#225;va2020_Produkce%20odpadu!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_Bulkova\ZPR&#193;VA%20o%20&#382;ivot%20prost&#345;ed&#237;\DATA_EXCEL_GRAFY\Data_MZP_obaly_2020%20pouze%20produkce_VV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0_Bulkova\POH%20&#268;R_Vyhodnocen&#237;%20za%20&#268;R_2019-2020_2021\Grafy%20vlastn&#237;_GB\Graf%20V&#253;robky%20ZPO_G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0_Bulkova\POH%20&#268;R_Vyhodnocen&#237;%20za%20&#268;R_2019-2020_2021\Grafy%20vlastn&#237;_GB\Graf%20Po&#269;et%20autovrak&#367;_G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71047403604936"/>
          <c:y val="0.17849518810148729"/>
          <c:w val="0.75883673380606431"/>
          <c:h val="0.48717201110730723"/>
        </c:manualLayout>
      </c:layout>
      <c:barChart>
        <c:barDir val="col"/>
        <c:grouping val="clustered"/>
        <c:varyColors val="0"/>
        <c:ser>
          <c:idx val="5"/>
          <c:order val="0"/>
          <c:tx>
            <c:v>Celková produkce odpadů (levá osa)</c:v>
          </c:tx>
          <c:spPr>
            <a:solidFill>
              <a:srgbClr val="CC9900"/>
            </a:solidFill>
            <a:ln>
              <a:noFill/>
            </a:ln>
          </c:spPr>
          <c:invertIfNegative val="0"/>
          <c:cat>
            <c:numRef>
              <c:f>'Graf 1'!$B$4:$B$15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1'!$E$25:$E$36</c:f>
              <c:numCache>
                <c:formatCode>_-* #\ ##0.0\ _K_č_-;\-* #\ ##0.0\ _K_č_-;_-* "-"??\ _K_č_-;_-@_-</c:formatCode>
                <c:ptCount val="12"/>
                <c:pt idx="0">
                  <c:v>32267.286232000002</c:v>
                </c:pt>
                <c:pt idx="1">
                  <c:v>31811.244712726999</c:v>
                </c:pt>
                <c:pt idx="2">
                  <c:v>30672.123302501001</c:v>
                </c:pt>
                <c:pt idx="3">
                  <c:v>30023.110800877999</c:v>
                </c:pt>
                <c:pt idx="4">
                  <c:v>30620.615538575003</c:v>
                </c:pt>
                <c:pt idx="5">
                  <c:v>32028.422464776006</c:v>
                </c:pt>
                <c:pt idx="6">
                  <c:v>37338.298116600999</c:v>
                </c:pt>
                <c:pt idx="7">
                  <c:v>34242.07605756</c:v>
                </c:pt>
                <c:pt idx="8">
                  <c:v>34512.614958078004</c:v>
                </c:pt>
                <c:pt idx="9">
                  <c:v>37784.842886455997</c:v>
                </c:pt>
                <c:pt idx="10">
                  <c:v>37362.257092017004</c:v>
                </c:pt>
                <c:pt idx="11">
                  <c:v>38503.658328715006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D-43CB-A6CE-A515E2A2E278}"/>
            </c:ext>
          </c:extLst>
        </c:ser>
        <c:ser>
          <c:idx val="0"/>
          <c:order val="1"/>
          <c:tx>
            <c:v>Celková produkce ostatních odpadů (levá osa)</c:v>
          </c:tx>
          <c:spPr>
            <a:solidFill>
              <a:srgbClr val="99FF33"/>
            </a:solidFill>
            <a:ln>
              <a:noFill/>
            </a:ln>
          </c:spPr>
          <c:invertIfNegative val="0"/>
          <c:cat>
            <c:numRef>
              <c:f>'Graf 1'!$B$4:$B$15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1'!$F$25:$F$36</c:f>
              <c:numCache>
                <c:formatCode>_-* #\ ##0.0\ _K_č_-;\-* #\ ##0.0\ _K_č_-;_-* "-"??\ _K_č_-;_-@_-</c:formatCode>
                <c:ptCount val="12"/>
                <c:pt idx="0">
                  <c:v>30105.896057000002</c:v>
                </c:pt>
                <c:pt idx="1">
                  <c:v>30027.118372522</c:v>
                </c:pt>
                <c:pt idx="2">
                  <c:v>28831.313832844</c:v>
                </c:pt>
                <c:pt idx="3">
                  <c:v>28386.320516951</c:v>
                </c:pt>
                <c:pt idx="4">
                  <c:v>29177.257400124996</c:v>
                </c:pt>
                <c:pt idx="5">
                  <c:v>30462.534604651006</c:v>
                </c:pt>
                <c:pt idx="6">
                  <c:v>35834.318839609004</c:v>
                </c:pt>
                <c:pt idx="7">
                  <c:v>32798.316788258999</c:v>
                </c:pt>
                <c:pt idx="8">
                  <c:v>33004.935611064</c:v>
                </c:pt>
                <c:pt idx="9">
                  <c:v>36016.878218860002</c:v>
                </c:pt>
                <c:pt idx="10">
                  <c:v>35603.752371413</c:v>
                </c:pt>
                <c:pt idx="11">
                  <c:v>36721.841942555002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AD-43CB-A6CE-A515E2A2E278}"/>
            </c:ext>
          </c:extLst>
        </c:ser>
        <c:ser>
          <c:idx val="3"/>
          <c:order val="2"/>
          <c:tx>
            <c:v>Celková produkce nebezpečných odpadů (levá osa)</c:v>
          </c:tx>
          <c:spPr>
            <a:solidFill>
              <a:srgbClr val="FF0000"/>
            </a:solidFill>
            <a:ln>
              <a:noFill/>
            </a:ln>
          </c:spPr>
          <c:invertIfNegative val="0"/>
          <c:cat>
            <c:numRef>
              <c:f>'Graf 1'!$B$4:$B$15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1'!$H$25:$H$36</c:f>
              <c:numCache>
                <c:formatCode>_-* #\ ##0.0\ _K_č_-;\-* #\ ##0.0\ _K_č_-;_-* "-"??\ _K_č_-;_-@_-</c:formatCode>
                <c:ptCount val="12"/>
                <c:pt idx="0">
                  <c:v>2161.390175</c:v>
                </c:pt>
                <c:pt idx="1">
                  <c:v>1784.1263402049999</c:v>
                </c:pt>
                <c:pt idx="2">
                  <c:v>1840.8094696569999</c:v>
                </c:pt>
                <c:pt idx="3">
                  <c:v>1636.7902839269998</c:v>
                </c:pt>
                <c:pt idx="4">
                  <c:v>1443.3581384499998</c:v>
                </c:pt>
                <c:pt idx="5">
                  <c:v>1565.8878601249999</c:v>
                </c:pt>
                <c:pt idx="6">
                  <c:v>1503.979276992</c:v>
                </c:pt>
                <c:pt idx="7">
                  <c:v>1443.7592693009999</c:v>
                </c:pt>
                <c:pt idx="8">
                  <c:v>1507.6793470140001</c:v>
                </c:pt>
                <c:pt idx="9">
                  <c:v>1767.9646675960003</c:v>
                </c:pt>
                <c:pt idx="10">
                  <c:v>1758.5047206040001</c:v>
                </c:pt>
                <c:pt idx="11">
                  <c:v>1781.8163861600001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AD-43CB-A6CE-A515E2A2E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39832"/>
        <c:axId val="221039440"/>
      </c:barChart>
      <c:lineChart>
        <c:grouping val="standard"/>
        <c:varyColors val="0"/>
        <c:ser>
          <c:idx val="1"/>
          <c:order val="3"/>
          <c:tx>
            <c:v>Celková produkce odpadů na obyvatele (pravá osa)</c:v>
          </c:tx>
          <c:spPr>
            <a:ln w="28575">
              <a:solidFill>
                <a:schemeClr val="accent6">
                  <a:lumMod val="50000"/>
                </a:schemeClr>
              </a:solidFill>
            </a:ln>
          </c:spPr>
          <c:marker>
            <c:symbol val="none"/>
          </c:marker>
          <c:val>
            <c:numRef>
              <c:f>'Graf 1'!$O$4:$O$15</c:f>
              <c:numCache>
                <c:formatCode>_-* #\ ##0.0\ _K_č_-;\-* #\ ##0.0\ _K_č_-;_-* "-"??\ _K_č_-;_-@_-</c:formatCode>
                <c:ptCount val="12"/>
                <c:pt idx="0">
                  <c:v>3075.5669672149584</c:v>
                </c:pt>
                <c:pt idx="1">
                  <c:v>3024.6741103186982</c:v>
                </c:pt>
                <c:pt idx="2">
                  <c:v>2922.4265516039841</c:v>
                </c:pt>
                <c:pt idx="3">
                  <c:v>2856.8173709306225</c:v>
                </c:pt>
                <c:pt idx="4">
                  <c:v>2913.2750612565137</c:v>
                </c:pt>
                <c:pt idx="5">
                  <c:v>3043.1432614597379</c:v>
                </c:pt>
                <c:pt idx="6">
                  <c:v>3541.5444869753624</c:v>
                </c:pt>
                <c:pt idx="7">
                  <c:v>3240.9991115771236</c:v>
                </c:pt>
                <c:pt idx="8">
                  <c:v>3259.1274584035214</c:v>
                </c:pt>
                <c:pt idx="9">
                  <c:v>3555.7419459269013</c:v>
                </c:pt>
                <c:pt idx="10">
                  <c:v>3501.8392066842289</c:v>
                </c:pt>
                <c:pt idx="11">
                  <c:v>3598.4206143476431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AD-43CB-A6CE-A515E2A2E278}"/>
            </c:ext>
          </c:extLst>
        </c:ser>
        <c:ser>
          <c:idx val="4"/>
          <c:order val="4"/>
          <c:tx>
            <c:v>Celková produkce ostatních odpadů na obyvatele (pravá osa)</c:v>
          </c:tx>
          <c:spPr>
            <a:ln w="28575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'Graf 1'!$P$4:$P$15</c:f>
              <c:numCache>
                <c:formatCode>_-* #\ ##0.0\ _K_č_-;\-* #\ ##0.0\ _K_č_-;_-* "-"??\ _K_č_-;_-@_-</c:formatCode>
                <c:ptCount val="12"/>
                <c:pt idx="0">
                  <c:v>2869.5533539938838</c:v>
                </c:pt>
                <c:pt idx="1">
                  <c:v>2855.0359587943503</c:v>
                </c:pt>
                <c:pt idx="2">
                  <c:v>2747.0350269444893</c:v>
                </c:pt>
                <c:pt idx="3">
                  <c:v>2701.0703217089153</c:v>
                </c:pt>
                <c:pt idx="4">
                  <c:v>2775.9525680521947</c:v>
                </c:pt>
                <c:pt idx="5">
                  <c:v>2894.3622500008792</c:v>
                </c:pt>
                <c:pt idx="6">
                  <c:v>3398.8917741944329</c:v>
                </c:pt>
                <c:pt idx="7">
                  <c:v>3104.3478611894388</c:v>
                </c:pt>
                <c:pt idx="8">
                  <c:v>3116.7528755360722</c:v>
                </c:pt>
                <c:pt idx="9">
                  <c:v>3389.3676633507212</c:v>
                </c:pt>
                <c:pt idx="10">
                  <c:v>3337.0204496004621</c:v>
                </c:pt>
                <c:pt idx="11">
                  <c:v>3431.8981306864248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EAD-43CB-A6CE-A515E2A2E278}"/>
            </c:ext>
          </c:extLst>
        </c:ser>
        <c:ser>
          <c:idx val="2"/>
          <c:order val="5"/>
          <c:tx>
            <c:v>Celková produkce nebezpečných odpadů na obyvatele (pravá osa)</c:v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val>
            <c:numRef>
              <c:f>'Graf 1'!$Q$4:$Q$15</c:f>
              <c:numCache>
                <c:formatCode>_-* #\ ##0.0\ _K_č_-;\-* #\ ##0.0\ _K_č_-;_-* "-"??\ _K_č_-;_-@_-</c:formatCode>
                <c:ptCount val="12"/>
                <c:pt idx="0">
                  <c:v>206.01361322107473</c:v>
                </c:pt>
                <c:pt idx="1">
                  <c:v>169.63815152434853</c:v>
                </c:pt>
                <c:pt idx="2">
                  <c:v>175.39152465949465</c:v>
                </c:pt>
                <c:pt idx="3">
                  <c:v>155.74704922170736</c:v>
                </c:pt>
                <c:pt idx="4">
                  <c:v>137.32249320431836</c:v>
                </c:pt>
                <c:pt idx="5">
                  <c:v>148.78101145885859</c:v>
                </c:pt>
                <c:pt idx="6">
                  <c:v>142.65271278092965</c:v>
                </c:pt>
                <c:pt idx="7">
                  <c:v>136.65125038768477</c:v>
                </c:pt>
                <c:pt idx="8">
                  <c:v>142.37458286744848</c:v>
                </c:pt>
                <c:pt idx="9">
                  <c:v>166.37428257618038</c:v>
                </c:pt>
                <c:pt idx="10">
                  <c:v>164.81875708376654</c:v>
                </c:pt>
                <c:pt idx="11">
                  <c:v>166.52248366121799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EAD-43CB-A6CE-A515E2A2E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040616"/>
        <c:axId val="221039048"/>
      </c:lineChart>
      <c:catAx>
        <c:axId val="221039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039440"/>
        <c:crosses val="autoZero"/>
        <c:auto val="1"/>
        <c:lblAlgn val="ctr"/>
        <c:lblOffset val="100"/>
        <c:noMultiLvlLbl val="0"/>
      </c:catAx>
      <c:valAx>
        <c:axId val="221039440"/>
        <c:scaling>
          <c:orientation val="minMax"/>
          <c:max val="40000"/>
        </c:scaling>
        <c:delete val="0"/>
        <c:axPos val="l"/>
        <c:majorGridlines/>
        <c:title>
          <c:tx>
            <c:rich>
              <a:bodyPr rot="0" vertOverflow="clip" vert="horz"/>
              <a:lstStyle/>
              <a:p>
                <a:pPr algn="l">
                  <a:defRPr sz="870" b="0" baseline="0"/>
                </a:pPr>
                <a:r>
                  <a:rPr lang="cs-CZ" sz="800" b="0" baseline="0"/>
                  <a:t>celková produkce odpadů, celková produkce ostatních a nebezpečných odpadů </a:t>
                </a:r>
                <a:r>
                  <a:rPr lang="cs-CZ" sz="800" b="0" i="0" u="none" strike="noStrike" baseline="0">
                    <a:effectLst/>
                  </a:rPr>
                  <a:t>[</a:t>
                </a:r>
                <a:r>
                  <a:rPr lang="cs-CZ" sz="800" b="0" baseline="0"/>
                  <a:t>tis. t</a:t>
                </a:r>
                <a:r>
                  <a:rPr lang="cs-CZ" sz="800" b="0" i="0" u="none" strike="noStrike" baseline="0">
                    <a:effectLst/>
                  </a:rPr>
                  <a:t>]</a:t>
                </a:r>
                <a:endParaRPr lang="cs-CZ" sz="800" b="0" baseline="0"/>
              </a:p>
            </c:rich>
          </c:tx>
          <c:layout>
            <c:manualLayout>
              <c:xMode val="edge"/>
              <c:yMode val="edge"/>
              <c:x val="4.6123327748309302E-2"/>
              <c:y val="8.2288351300933583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221039832"/>
        <c:crosses val="autoZero"/>
        <c:crossBetween val="between"/>
      </c:valAx>
      <c:valAx>
        <c:axId val="221039048"/>
        <c:scaling>
          <c:orientation val="minMax"/>
          <c:max val="3600"/>
          <c:min val="0"/>
        </c:scaling>
        <c:delete val="0"/>
        <c:axPos val="r"/>
        <c:title>
          <c:tx>
            <c:rich>
              <a:bodyPr rot="0" vertOverflow="clip" vert="horz"/>
              <a:lstStyle/>
              <a:p>
                <a:pPr algn="r">
                  <a:defRPr sz="800" b="0"/>
                </a:pPr>
                <a:r>
                  <a:rPr lang="cs-CZ" sz="800" b="0"/>
                  <a:t>celková produkce odpadů na obyvatele, celková produkce ostatních </a:t>
                </a:r>
              </a:p>
              <a:p>
                <a:pPr algn="r">
                  <a:defRPr sz="800" b="0"/>
                </a:pPr>
                <a:r>
                  <a:rPr lang="cs-CZ" sz="800" b="0"/>
                  <a:t>a nebezpečných odpadů </a:t>
                </a:r>
              </a:p>
              <a:p>
                <a:pPr algn="r">
                  <a:defRPr sz="800" b="0"/>
                </a:pPr>
                <a:r>
                  <a:rPr lang="cs-CZ" sz="800" b="0"/>
                  <a:t>na obyvatele </a:t>
                </a:r>
                <a:r>
                  <a:rPr lang="cs-CZ" sz="800" b="0" i="0" u="none" strike="noStrike" baseline="0">
                    <a:effectLst/>
                  </a:rPr>
                  <a:t>[</a:t>
                </a:r>
                <a:r>
                  <a:rPr lang="cs-CZ" sz="800" b="0"/>
                  <a:t>kg.obyv.</a:t>
                </a:r>
                <a:r>
                  <a:rPr lang="cs-CZ" sz="800" b="0" baseline="30000"/>
                  <a:t>-1</a:t>
                </a:r>
                <a:r>
                  <a:rPr lang="cs-CZ" sz="800" b="0" i="0" u="none" strike="noStrike" baseline="0">
                    <a:effectLst/>
                  </a:rPr>
                  <a:t>]</a:t>
                </a:r>
                <a:endParaRPr lang="cs-CZ" sz="800" b="0" baseline="0"/>
              </a:p>
            </c:rich>
          </c:tx>
          <c:layout>
            <c:manualLayout>
              <c:xMode val="edge"/>
              <c:yMode val="edge"/>
              <c:x val="0.76673849065448962"/>
              <c:y val="1.4132647207550217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221040616"/>
        <c:crosses val="max"/>
        <c:crossBetween val="between"/>
        <c:majorUnit val="400"/>
      </c:valAx>
      <c:catAx>
        <c:axId val="221040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1039048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b"/>
      <c:layout>
        <c:manualLayout>
          <c:xMode val="edge"/>
          <c:yMode val="edge"/>
          <c:x val="0.13542560487546554"/>
          <c:y val="0.73683851813605261"/>
          <c:w val="0.57644173228346451"/>
          <c:h val="0.24742377694591455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849603918371633E-2"/>
          <c:y val="8.5569383508336358E-2"/>
          <c:w val="0.71187653779749227"/>
          <c:h val="0.76541886447461005"/>
        </c:manualLayout>
      </c:layout>
      <c:barChart>
        <c:barDir val="col"/>
        <c:grouping val="stacked"/>
        <c:varyColors val="0"/>
        <c:ser>
          <c:idx val="2"/>
          <c:order val="0"/>
          <c:tx>
            <c:v>Podíl materiálově využitých odpadů</c:v>
          </c:tx>
          <c:spPr>
            <a:solidFill>
              <a:srgbClr val="008000"/>
            </a:solidFill>
            <a:ln>
              <a:noFill/>
            </a:ln>
          </c:spPr>
          <c:invertIfNegative val="0"/>
          <c:cat>
            <c:numRef>
              <c:f>'Graf 1 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1 '!$L$4:$L$15</c:f>
              <c:numCache>
                <c:formatCode>#\ ##0.0</c:formatCode>
                <c:ptCount val="12"/>
                <c:pt idx="0">
                  <c:v>72.507474462025286</c:v>
                </c:pt>
                <c:pt idx="1">
                  <c:v>70.734921185575516</c:v>
                </c:pt>
                <c:pt idx="2">
                  <c:v>74.88728568634528</c:v>
                </c:pt>
                <c:pt idx="3">
                  <c:v>75.756258185407162</c:v>
                </c:pt>
                <c:pt idx="4">
                  <c:v>76.128574183015346</c:v>
                </c:pt>
                <c:pt idx="5">
                  <c:v>79.513359748875502</c:v>
                </c:pt>
                <c:pt idx="6">
                  <c:v>83.212684046439861</c:v>
                </c:pt>
                <c:pt idx="7">
                  <c:v>81.648524710566903</c:v>
                </c:pt>
                <c:pt idx="8">
                  <c:v>80.503902786948615</c:v>
                </c:pt>
                <c:pt idx="9">
                  <c:v>83.440903090210384</c:v>
                </c:pt>
                <c:pt idx="10">
                  <c:v>84.764559912601626</c:v>
                </c:pt>
                <c:pt idx="11">
                  <c:v>86.157966229299149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3-40BC-8EA7-3C9C986E1128}"/>
            </c:ext>
          </c:extLst>
        </c:ser>
        <c:ser>
          <c:idx val="3"/>
          <c:order val="1"/>
          <c:tx>
            <c:v>Podíl energeticky využitých odpadů</c:v>
          </c:tx>
          <c:spPr>
            <a:solidFill>
              <a:srgbClr val="FF0000"/>
            </a:solidFill>
            <a:ln>
              <a:noFill/>
            </a:ln>
          </c:spPr>
          <c:invertIfNegative val="0"/>
          <c:cat>
            <c:numRef>
              <c:f>'Graf 1 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1 '!$M$4:$M$15</c:f>
              <c:numCache>
                <c:formatCode>#\ ##0.0</c:formatCode>
                <c:ptCount val="12"/>
                <c:pt idx="0">
                  <c:v>2.1711036817662306</c:v>
                </c:pt>
                <c:pt idx="1">
                  <c:v>2.7635262955909616</c:v>
                </c:pt>
                <c:pt idx="2">
                  <c:v>3.3250216648576179</c:v>
                </c:pt>
                <c:pt idx="3">
                  <c:v>3.4987920133788424</c:v>
                </c:pt>
                <c:pt idx="4">
                  <c:v>3.4029920211541658</c:v>
                </c:pt>
                <c:pt idx="5">
                  <c:v>3.4667928307556917</c:v>
                </c:pt>
                <c:pt idx="6">
                  <c:v>3.0896528491963773</c:v>
                </c:pt>
                <c:pt idx="7">
                  <c:v>3.5303460792795756</c:v>
                </c:pt>
                <c:pt idx="8">
                  <c:v>3.5838607063342667</c:v>
                </c:pt>
                <c:pt idx="9">
                  <c:v>3.1779247338392889</c:v>
                </c:pt>
                <c:pt idx="10">
                  <c:v>3.4671019662962994</c:v>
                </c:pt>
                <c:pt idx="11">
                  <c:v>3.591281153426825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73-40BC-8EA7-3C9C986E1128}"/>
            </c:ext>
          </c:extLst>
        </c:ser>
        <c:ser>
          <c:idx val="1"/>
          <c:order val="2"/>
          <c:tx>
            <c:v>Podíl spalovaných odpadů</c:v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</c:spPr>
          <c:invertIfNegative val="0"/>
          <c:cat>
            <c:numRef>
              <c:f>'Graf 1 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1 '!$K$4:$K$15</c:f>
              <c:numCache>
                <c:formatCode>#\ ##0.0</c:formatCode>
                <c:ptCount val="12"/>
                <c:pt idx="0">
                  <c:v>0.21292606194711125</c:v>
                </c:pt>
                <c:pt idx="1">
                  <c:v>0.26545376390196923</c:v>
                </c:pt>
                <c:pt idx="2">
                  <c:v>0.2499149158798199</c:v>
                </c:pt>
                <c:pt idx="3">
                  <c:v>0.25405415631936917</c:v>
                </c:pt>
                <c:pt idx="4">
                  <c:v>0.25875654342802051</c:v>
                </c:pt>
                <c:pt idx="5">
                  <c:v>0.25053376689797319</c:v>
                </c:pt>
                <c:pt idx="6">
                  <c:v>0.21603215840771411</c:v>
                </c:pt>
                <c:pt idx="7">
                  <c:v>0.23588459728383523</c:v>
                </c:pt>
                <c:pt idx="8">
                  <c:v>0.26157884221366323</c:v>
                </c:pt>
                <c:pt idx="9">
                  <c:v>0.2476075136692866</c:v>
                </c:pt>
                <c:pt idx="10">
                  <c:v>0.24161725379617999</c:v>
                </c:pt>
                <c:pt idx="11">
                  <c:v>0.23050272142013875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73-40BC-8EA7-3C9C986E1128}"/>
            </c:ext>
          </c:extLst>
        </c:ser>
        <c:ser>
          <c:idx val="0"/>
          <c:order val="3"/>
          <c:tx>
            <c:v>Podíl skládkovaných odpadů</c:v>
          </c:tx>
          <c:spPr>
            <a:solidFill>
              <a:srgbClr val="996633"/>
            </a:solidFill>
            <a:ln>
              <a:noFill/>
            </a:ln>
          </c:spPr>
          <c:invertIfNegative val="0"/>
          <c:cat>
            <c:numRef>
              <c:f>'Graf 1 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1 '!$J$4:$J$15</c:f>
              <c:numCache>
                <c:formatCode>#\ ##0.0</c:formatCode>
                <c:ptCount val="12"/>
                <c:pt idx="0">
                  <c:v>14.577858230826626</c:v>
                </c:pt>
                <c:pt idx="1">
                  <c:v>13.541983446490264</c:v>
                </c:pt>
                <c:pt idx="2">
                  <c:v>12.626886999740904</c:v>
                </c:pt>
                <c:pt idx="3">
                  <c:v>12.653301092866446</c:v>
                </c:pt>
                <c:pt idx="4">
                  <c:v>11.308984174287938</c:v>
                </c:pt>
                <c:pt idx="5">
                  <c:v>10.282968173184527</c:v>
                </c:pt>
                <c:pt idx="6">
                  <c:v>8.5898153734891451</c:v>
                </c:pt>
                <c:pt idx="7">
                  <c:v>9.4529670817822833</c:v>
                </c:pt>
                <c:pt idx="8">
                  <c:v>9.827583144487658</c:v>
                </c:pt>
                <c:pt idx="9">
                  <c:v>9.4360771014718772</c:v>
                </c:pt>
                <c:pt idx="10">
                  <c:v>9.6733762197606232</c:v>
                </c:pt>
                <c:pt idx="11">
                  <c:v>9.770080003269511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73-40BC-8EA7-3C9C986E1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8424680"/>
        <c:axId val="237928304"/>
      </c:barChart>
      <c:catAx>
        <c:axId val="238424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7928304"/>
        <c:crosses val="autoZero"/>
        <c:auto val="1"/>
        <c:lblAlgn val="ctr"/>
        <c:lblOffset val="100"/>
        <c:noMultiLvlLbl val="0"/>
      </c:catAx>
      <c:valAx>
        <c:axId val="23792830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0" vertOverflow="clip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1.3137480429897781E-2"/>
              <c:y val="2.7602227012460095E-2"/>
            </c:manualLayout>
          </c:layout>
          <c:overlay val="0"/>
        </c:title>
        <c:numFmt formatCode="#\ ##0" sourceLinked="0"/>
        <c:majorTickMark val="out"/>
        <c:minorTickMark val="none"/>
        <c:tickLblPos val="nextTo"/>
        <c:crossAx val="23842468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7079906769551831"/>
          <c:y val="0.26223953081562018"/>
          <c:w val="0.20277031370453108"/>
          <c:h val="0.51536605733048313"/>
        </c:manualLayout>
      </c:layout>
      <c:overlay val="0"/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8231732539709"/>
          <c:y val="0.20889302242567651"/>
          <c:w val="0.62628575145933252"/>
          <c:h val="0.70622768134149694"/>
        </c:manualLayout>
      </c:layout>
      <c:barChart>
        <c:barDir val="col"/>
        <c:grouping val="stacked"/>
        <c:varyColors val="0"/>
        <c:ser>
          <c:idx val="0"/>
          <c:order val="0"/>
          <c:tx>
            <c:v>Směsný komunální odpad (levá osa)</c:v>
          </c:tx>
          <c:spPr>
            <a:solidFill>
              <a:srgbClr val="92929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929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B5D7-4705-9BE2-E9E53759AA90}"/>
              </c:ext>
            </c:extLst>
          </c:dPt>
          <c:cat>
            <c:numRef>
              <c:f>'Graf 2'!$D$26:$D$37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2'!$F$26:$F$37</c:f>
              <c:numCache>
                <c:formatCode>_-* #\ ##0.0\ _K_č_-;\-* #\ ##0.0\ _K_č_-;_-* "-"??\ _K_č_-;_-@_-</c:formatCode>
                <c:ptCount val="12"/>
                <c:pt idx="0">
                  <c:v>3283.971378062</c:v>
                </c:pt>
                <c:pt idx="1">
                  <c:v>3142.9288372240003</c:v>
                </c:pt>
                <c:pt idx="2">
                  <c:v>3067.6826448209999</c:v>
                </c:pt>
                <c:pt idx="3">
                  <c:v>2932.787246373</c:v>
                </c:pt>
                <c:pt idx="4">
                  <c:v>2859.6587015509999</c:v>
                </c:pt>
                <c:pt idx="5">
                  <c:v>2936.0121397040002</c:v>
                </c:pt>
                <c:pt idx="6">
                  <c:v>2836.8357087740005</c:v>
                </c:pt>
                <c:pt idx="7">
                  <c:v>2820.9130521809998</c:v>
                </c:pt>
                <c:pt idx="8">
                  <c:v>2800.6235288909998</c:v>
                </c:pt>
                <c:pt idx="9">
                  <c:v>2807.422444235001</c:v>
                </c:pt>
                <c:pt idx="10">
                  <c:v>2787.3557755659995</c:v>
                </c:pt>
                <c:pt idx="11">
                  <c:v>2780.3466602179997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D7-4705-9BE2-E9E53759AA90}"/>
            </c:ext>
          </c:extLst>
        </c:ser>
        <c:ser>
          <c:idx val="1"/>
          <c:order val="1"/>
          <c:tx>
            <c:v>Komunální odpad vyjma směsného (levá osa)</c:v>
          </c:tx>
          <c:spPr>
            <a:solidFill>
              <a:srgbClr val="FFFF66"/>
            </a:solidFill>
          </c:spPr>
          <c:invertIfNegative val="0"/>
          <c:cat>
            <c:numRef>
              <c:f>'Graf 2'!$D$26:$D$37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2'!$G$26:$G$37</c:f>
              <c:numCache>
                <c:formatCode>_-* #\ ##0.0\ _K_č_-;\-* #\ ##0.0\ _K_č_-;_-* "-"??\ _K_č_-;_-@_-</c:formatCode>
                <c:ptCount val="12"/>
                <c:pt idx="0">
                  <c:v>2040.272581938</c:v>
                </c:pt>
                <c:pt idx="1">
                  <c:v>2218.9538539769992</c:v>
                </c:pt>
                <c:pt idx="2">
                  <c:v>2320.3751357269998</c:v>
                </c:pt>
                <c:pt idx="3">
                  <c:v>2259.9970271369998</c:v>
                </c:pt>
                <c:pt idx="4">
                  <c:v>2308.1461044429993</c:v>
                </c:pt>
                <c:pt idx="5">
                  <c:v>2387.9347503250001</c:v>
                </c:pt>
                <c:pt idx="6">
                  <c:v>2437.2899062949996</c:v>
                </c:pt>
                <c:pt idx="7">
                  <c:v>2791.5025407369994</c:v>
                </c:pt>
                <c:pt idx="8">
                  <c:v>2889.9616031159999</c:v>
                </c:pt>
                <c:pt idx="9">
                  <c:v>2974.643775141999</c:v>
                </c:pt>
                <c:pt idx="10">
                  <c:v>3091.8072641790004</c:v>
                </c:pt>
                <c:pt idx="11">
                  <c:v>2949.5706493780017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D7-4705-9BE2-E9E53759A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1833176"/>
        <c:axId val="521834352"/>
      </c:barChart>
      <c:lineChart>
        <c:grouping val="standard"/>
        <c:varyColors val="0"/>
        <c:ser>
          <c:idx val="2"/>
          <c:order val="2"/>
          <c:tx>
            <c:v>Komunální odpad v přepočtu na obyvatele (pravá osa)</c:v>
          </c:tx>
          <c:spPr>
            <a:ln w="28575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'Graf 2'!$I$4:$I$15</c:f>
              <c:numCache>
                <c:formatCode>0.0</c:formatCode>
                <c:ptCount val="12"/>
                <c:pt idx="0">
                  <c:v>507.48205879583185</c:v>
                </c:pt>
                <c:pt idx="1">
                  <c:v>509.81808178518571</c:v>
                </c:pt>
                <c:pt idx="2">
                  <c:v>513.3717990161432</c:v>
                </c:pt>
                <c:pt idx="3">
                  <c:v>494.11389827149054</c:v>
                </c:pt>
                <c:pt idx="4">
                  <c:v>491.66996149302435</c:v>
                </c:pt>
                <c:pt idx="5">
                  <c:v>505.84861369863876</c:v>
                </c:pt>
                <c:pt idx="6">
                  <c:v>500.25179073061389</c:v>
                </c:pt>
                <c:pt idx="7">
                  <c:v>531.21294164151186</c:v>
                </c:pt>
                <c:pt idx="8">
                  <c:v>537.37864489940341</c:v>
                </c:pt>
                <c:pt idx="9">
                  <c:v>544.12123538921355</c:v>
                </c:pt>
                <c:pt idx="10">
                  <c:v>551.03425856642843</c:v>
                </c:pt>
                <c:pt idx="11">
                  <c:v>535.49853339470337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5D7-4705-9BE2-E9E53759AA90}"/>
            </c:ext>
          </c:extLst>
        </c:ser>
        <c:ser>
          <c:idx val="3"/>
          <c:order val="3"/>
          <c:tx>
            <c:v>Směsný komunální odpad v přepočtu na obyvatele (pravá osa)</c:v>
          </c:tx>
          <c:spPr>
            <a:ln w="28575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'Graf 2'!$J$4:$J$15</c:f>
              <c:numCache>
                <c:formatCode>0.0</c:formatCode>
                <c:ptCount val="12"/>
                <c:pt idx="0">
                  <c:v>313.01280867030164</c:v>
                </c:pt>
                <c:pt idx="1">
                  <c:v>298.83569694845045</c:v>
                </c:pt>
                <c:pt idx="2">
                  <c:v>292.28746652790784</c:v>
                </c:pt>
                <c:pt idx="3">
                  <c:v>279.06627018933546</c:v>
                </c:pt>
                <c:pt idx="4">
                  <c:v>272.07070244680693</c:v>
                </c:pt>
                <c:pt idx="5">
                  <c:v>278.96177429064335</c:v>
                </c:pt>
                <c:pt idx="6">
                  <c:v>269.07439202207513</c:v>
                </c:pt>
                <c:pt idx="7">
                  <c:v>266.99831752568127</c:v>
                </c:pt>
                <c:pt idx="8">
                  <c:v>264.47109425776</c:v>
                </c:pt>
                <c:pt idx="9">
                  <c:v>264.19243755758055</c:v>
                </c:pt>
                <c:pt idx="10">
                  <c:v>261.24952017259943</c:v>
                </c:pt>
                <c:pt idx="11">
                  <c:v>259.8417182010914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5D7-4705-9BE2-E9E53759A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7446104"/>
        <c:axId val="437445712"/>
      </c:lineChart>
      <c:catAx>
        <c:axId val="521833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1834352"/>
        <c:crosses val="autoZero"/>
        <c:auto val="1"/>
        <c:lblAlgn val="ctr"/>
        <c:lblOffset val="100"/>
        <c:noMultiLvlLbl val="0"/>
      </c:catAx>
      <c:valAx>
        <c:axId val="521834352"/>
        <c:scaling>
          <c:orientation val="minMax"/>
          <c:max val="6000"/>
        </c:scaling>
        <c:delete val="0"/>
        <c:axPos val="l"/>
        <c:majorGridlines/>
        <c:title>
          <c:tx>
            <c:rich>
              <a:bodyPr rot="0" vertOverflow="clip" vert="horz"/>
              <a:lstStyle/>
              <a:p>
                <a:pPr algn="l">
                  <a:defRPr b="0"/>
                </a:pPr>
                <a:r>
                  <a:rPr lang="cs-CZ" sz="800" b="0"/>
                  <a:t>celková</a:t>
                </a:r>
                <a:r>
                  <a:rPr lang="cs-CZ" sz="800" b="0" baseline="0"/>
                  <a:t> produkce komunálních odpadů </a:t>
                </a:r>
              </a:p>
              <a:p>
                <a:pPr algn="l">
                  <a:defRPr b="0"/>
                </a:pPr>
                <a:r>
                  <a:rPr lang="cs-CZ" sz="800" b="0" i="0" u="none" strike="noStrike" baseline="0">
                    <a:effectLst/>
                  </a:rPr>
                  <a:t>[</a:t>
                </a:r>
                <a:r>
                  <a:rPr lang="cs-CZ" sz="800" b="0"/>
                  <a:t>tis. t</a:t>
                </a:r>
                <a:r>
                  <a:rPr lang="cs-CZ" sz="800" b="0" i="0" u="none" strike="noStrike" baseline="0">
                    <a:effectLst/>
                  </a:rPr>
                  <a:t>]</a:t>
                </a:r>
                <a:endParaRPr lang="cs-CZ" sz="800" b="0"/>
              </a:p>
            </c:rich>
          </c:tx>
          <c:layout>
            <c:manualLayout>
              <c:xMode val="edge"/>
              <c:yMode val="edge"/>
              <c:x val="5.9699734863933249E-2"/>
              <c:y val="4.962049386683806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521833176"/>
        <c:crosses val="autoZero"/>
        <c:crossBetween val="between"/>
      </c:valAx>
      <c:valAx>
        <c:axId val="437445712"/>
        <c:scaling>
          <c:orientation val="minMax"/>
        </c:scaling>
        <c:delete val="0"/>
        <c:axPos val="r"/>
        <c:title>
          <c:tx>
            <c:rich>
              <a:bodyPr rot="0" vertOverflow="clip" vert="horz"/>
              <a:lstStyle/>
              <a:p>
                <a:pPr algn="r">
                  <a:defRPr sz="800" b="0"/>
                </a:pPr>
                <a:r>
                  <a:rPr lang="cs-CZ" sz="800" b="0" i="0" u="none" strike="noStrike" baseline="0">
                    <a:effectLst/>
                  </a:rPr>
                  <a:t>produkce komunálního a směsného komunálního odpadu v přepočtu </a:t>
                </a:r>
              </a:p>
              <a:p>
                <a:pPr algn="r">
                  <a:defRPr sz="800" b="0"/>
                </a:pPr>
                <a:r>
                  <a:rPr lang="cs-CZ" sz="800" b="0" i="0" u="none" strike="noStrike" baseline="0">
                    <a:effectLst/>
                  </a:rPr>
                  <a:t>na obyvatele [</a:t>
                </a:r>
                <a:r>
                  <a:rPr lang="cs-CZ" sz="800" b="0"/>
                  <a:t>kg.obyv.</a:t>
                </a:r>
                <a:r>
                  <a:rPr lang="cs-CZ" sz="800" b="0" baseline="30000"/>
                  <a:t>-1</a:t>
                </a:r>
                <a:r>
                  <a:rPr lang="cs-CZ" sz="800" b="0" i="0" u="none" strike="noStrike" baseline="0">
                    <a:effectLst/>
                  </a:rPr>
                  <a:t>]</a:t>
                </a:r>
                <a:endParaRPr lang="cs-CZ" sz="800" b="0" baseline="30000"/>
              </a:p>
            </c:rich>
          </c:tx>
          <c:layout>
            <c:manualLayout>
              <c:xMode val="edge"/>
              <c:yMode val="edge"/>
              <c:x val="0.55209919541754138"/>
              <c:y val="2.14414269644865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437446104"/>
        <c:crosses val="max"/>
        <c:crossBetween val="between"/>
      </c:valAx>
      <c:catAx>
        <c:axId val="437446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7445712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r"/>
      <c:layout>
        <c:manualLayout>
          <c:xMode val="edge"/>
          <c:yMode val="edge"/>
          <c:x val="0.8049641077992038"/>
          <c:y val="0.24376792638834086"/>
          <c:w val="0.18020695458825511"/>
          <c:h val="0.67768814612459161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44461672811337E-2"/>
          <c:y val="9.181213568390259E-2"/>
          <c:w val="0.77937849115014468"/>
          <c:h val="0.80919088232841041"/>
        </c:manualLayout>
      </c:layout>
      <c:barChart>
        <c:barDir val="col"/>
        <c:grouping val="stacked"/>
        <c:varyColors val="0"/>
        <c:ser>
          <c:idx val="0"/>
          <c:order val="0"/>
          <c:tx>
            <c:v>Recyklace</c:v>
          </c:tx>
          <c:spPr>
            <a:solidFill>
              <a:srgbClr val="008000"/>
            </a:solidFill>
            <a:ln>
              <a:noFill/>
            </a:ln>
          </c:spPr>
          <c:invertIfNegative val="0"/>
          <c:cat>
            <c:numRef>
              <c:f>'Graf 2'!$B$4:$B$15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2'!$D$4:$D$15</c:f>
              <c:numCache>
                <c:formatCode>#,##0</c:formatCode>
                <c:ptCount val="12"/>
                <c:pt idx="0">
                  <c:v>615613.82494000008</c:v>
                </c:pt>
                <c:pt idx="1">
                  <c:v>646013.91790300014</c:v>
                </c:pt>
                <c:pt idx="2">
                  <c:v>659175</c:v>
                </c:pt>
                <c:pt idx="3">
                  <c:v>672538.23479999998</c:v>
                </c:pt>
                <c:pt idx="4">
                  <c:v>703356.79129999992</c:v>
                </c:pt>
                <c:pt idx="5">
                  <c:v>744280.13659999997</c:v>
                </c:pt>
                <c:pt idx="6">
                  <c:v>807788</c:v>
                </c:pt>
                <c:pt idx="7">
                  <c:v>866013.37030000007</c:v>
                </c:pt>
                <c:pt idx="8">
                  <c:v>880892.79460000002</c:v>
                </c:pt>
                <c:pt idx="9">
                  <c:v>902871.1727</c:v>
                </c:pt>
                <c:pt idx="10">
                  <c:v>950745.40637410001</c:v>
                </c:pt>
                <c:pt idx="11">
                  <c:v>902370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6-4A8F-B5E2-1EB1773E8913}"/>
            </c:ext>
          </c:extLst>
        </c:ser>
        <c:ser>
          <c:idx val="1"/>
          <c:order val="1"/>
          <c:tx>
            <c:v>Energetické využití</c:v>
          </c:tx>
          <c:spPr>
            <a:solidFill>
              <a:srgbClr val="FF0000"/>
            </a:solidFill>
          </c:spPr>
          <c:invertIfNegative val="0"/>
          <c:cat>
            <c:numRef>
              <c:f>'Graf 2'!$B$4:$B$15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2'!$E$4:$E$15</c:f>
              <c:numCache>
                <c:formatCode>#,##0</c:formatCode>
                <c:ptCount val="12"/>
                <c:pt idx="0">
                  <c:v>62556.479999999996</c:v>
                </c:pt>
                <c:pt idx="1">
                  <c:v>73068.314599999998</c:v>
                </c:pt>
                <c:pt idx="2">
                  <c:v>52049</c:v>
                </c:pt>
                <c:pt idx="3">
                  <c:v>35888.333400000003</c:v>
                </c:pt>
                <c:pt idx="4">
                  <c:v>48272.324199999995</c:v>
                </c:pt>
                <c:pt idx="5">
                  <c:v>56927.106899999999</c:v>
                </c:pt>
                <c:pt idx="6">
                  <c:v>56661</c:v>
                </c:pt>
                <c:pt idx="7">
                  <c:v>53103.814494948994</c:v>
                </c:pt>
                <c:pt idx="8">
                  <c:v>59224.473699999995</c:v>
                </c:pt>
                <c:pt idx="9">
                  <c:v>55616.149600000004</c:v>
                </c:pt>
                <c:pt idx="10">
                  <c:v>56579.250399999997</c:v>
                </c:pt>
                <c:pt idx="11">
                  <c:v>125377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36-4A8F-B5E2-1EB1773E8913}"/>
            </c:ext>
          </c:extLst>
        </c:ser>
        <c:ser>
          <c:idx val="2"/>
          <c:order val="2"/>
          <c:tx>
            <c:v>Ostatní způsoby nakládání</c:v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numRef>
              <c:f>'Graf 2'!$B$4:$B$15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'Graf 2'!$F$4:$F$15</c:f>
              <c:numCache>
                <c:formatCode>#,##0</c:formatCode>
                <c:ptCount val="12"/>
                <c:pt idx="0">
                  <c:v>216183.18805999999</c:v>
                </c:pt>
                <c:pt idx="1">
                  <c:v>203643.6810279999</c:v>
                </c:pt>
                <c:pt idx="2">
                  <c:v>234092</c:v>
                </c:pt>
                <c:pt idx="3">
                  <c:v>253918.94810000004</c:v>
                </c:pt>
                <c:pt idx="4">
                  <c:v>254119.82830000005</c:v>
                </c:pt>
                <c:pt idx="5">
                  <c:v>218597.64119999995</c:v>
                </c:pt>
                <c:pt idx="6">
                  <c:v>223313</c:v>
                </c:pt>
                <c:pt idx="7">
                  <c:v>230725.69290505105</c:v>
                </c:pt>
                <c:pt idx="8">
                  <c:v>255256.97470000002</c:v>
                </c:pt>
                <c:pt idx="9">
                  <c:v>338395.98339999991</c:v>
                </c:pt>
                <c:pt idx="10">
                  <c:v>327102.69332589989</c:v>
                </c:pt>
                <c:pt idx="11">
                  <c:v>300984.27069999999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36-4A8F-B5E2-1EB1773E8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199296"/>
        <c:axId val="128199688"/>
      </c:barChart>
      <c:catAx>
        <c:axId val="12819929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crossAx val="128199688"/>
        <c:crosses val="autoZero"/>
        <c:auto val="1"/>
        <c:lblAlgn val="ctr"/>
        <c:lblOffset val="100"/>
        <c:tickLblSkip val="1"/>
        <c:noMultiLvlLbl val="0"/>
      </c:catAx>
      <c:valAx>
        <c:axId val="128199688"/>
        <c:scaling>
          <c:orientation val="minMax"/>
          <c:max val="1400000"/>
        </c:scaling>
        <c:delete val="0"/>
        <c:axPos val="l"/>
        <c:majorGridlines/>
        <c:title>
          <c:tx>
            <c:rich>
              <a:bodyPr rot="0" vertOverflow="clip" vert="horz"/>
              <a:lstStyle/>
              <a:p>
                <a:pPr>
                  <a:defRPr/>
                </a:pPr>
                <a:r>
                  <a:rPr lang="cs-CZ"/>
                  <a:t>tis. t</a:t>
                </a:r>
              </a:p>
            </c:rich>
          </c:tx>
          <c:layout>
            <c:manualLayout>
              <c:xMode val="edge"/>
              <c:yMode val="edge"/>
              <c:x val="2.443300356686183E-3"/>
              <c:y val="1.5547242549957833E-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28199296"/>
        <c:crosses val="autoZero"/>
        <c:crossBetween val="between"/>
        <c:majorUnit val="100000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857186217107477"/>
          <c:y val="0.25366347154820629"/>
          <c:w val="0.13974702445546017"/>
          <c:h val="0.29236044395980509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clip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chemeClr val="tx1"/>
                </a:solidFill>
              </a:rPr>
              <a:t>Zpětný odběr vybraných výrobků</a:t>
            </a:r>
          </a:p>
          <a:p>
            <a:pPr>
              <a:defRPr/>
            </a:pPr>
            <a:r>
              <a:rPr lang="cs-CZ" b="1">
                <a:solidFill>
                  <a:schemeClr val="tx1"/>
                </a:solidFill>
              </a:rPr>
              <a:t>2009-2020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clip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List1!$B$1:$B$3</c:f>
              <c:strCache>
                <c:ptCount val="3"/>
                <c:pt idx="1">
                  <c:v>Úroveň zpětného odběru elektrozařízení a odděleného sběru elektroodpadů</c:v>
                </c:pt>
                <c:pt idx="2">
                  <c:v>%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List1!$A$4:$A$15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List1!$B$4:$B$15</c:f>
              <c:numCache>
                <c:formatCode>#\ ##0.0</c:formatCode>
                <c:ptCount val="12"/>
                <c:pt idx="0">
                  <c:v>32.00875475682453</c:v>
                </c:pt>
                <c:pt idx="1">
                  <c:v>31.908974304932464</c:v>
                </c:pt>
                <c:pt idx="2">
                  <c:v>30.406309646563262</c:v>
                </c:pt>
                <c:pt idx="3">
                  <c:v>31.7963752665245</c:v>
                </c:pt>
                <c:pt idx="4">
                  <c:v>29.807681734712954</c:v>
                </c:pt>
                <c:pt idx="5">
                  <c:v>32.669062130111897</c:v>
                </c:pt>
                <c:pt idx="6">
                  <c:v>40.812054850812785</c:v>
                </c:pt>
                <c:pt idx="7">
                  <c:v>50.5</c:v>
                </c:pt>
                <c:pt idx="8">
                  <c:v>51.2</c:v>
                </c:pt>
                <c:pt idx="9">
                  <c:v>51.1</c:v>
                </c:pt>
                <c:pt idx="10">
                  <c:v>54.2</c:v>
                </c:pt>
                <c:pt idx="11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1F-4D8D-8CC4-C2A5774ACAC8}"/>
            </c:ext>
          </c:extLst>
        </c:ser>
        <c:ser>
          <c:idx val="1"/>
          <c:order val="1"/>
          <c:tx>
            <c:strRef>
              <c:f>List1!$C$1:$C$3</c:f>
              <c:strCache>
                <c:ptCount val="3"/>
                <c:pt idx="1">
                  <c:v>Úroveň zpětného odběru přenosných baterií a akumulátorů</c:v>
                </c:pt>
                <c:pt idx="2">
                  <c:v>%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List1!$A$4:$A$15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List1!$C$4:$C$15</c:f>
              <c:numCache>
                <c:formatCode>#\ ##0.0</c:formatCode>
                <c:ptCount val="12"/>
                <c:pt idx="0">
                  <c:v>15.5</c:v>
                </c:pt>
                <c:pt idx="1">
                  <c:v>16</c:v>
                </c:pt>
                <c:pt idx="2">
                  <c:v>25.6</c:v>
                </c:pt>
                <c:pt idx="3">
                  <c:v>29.175270025891646</c:v>
                </c:pt>
                <c:pt idx="4">
                  <c:v>31</c:v>
                </c:pt>
                <c:pt idx="5">
                  <c:v>31.49</c:v>
                </c:pt>
                <c:pt idx="6">
                  <c:v>36.299999999999997</c:v>
                </c:pt>
                <c:pt idx="7">
                  <c:v>51.99</c:v>
                </c:pt>
                <c:pt idx="8">
                  <c:v>47.02</c:v>
                </c:pt>
                <c:pt idx="9">
                  <c:v>47.4</c:v>
                </c:pt>
                <c:pt idx="10">
                  <c:v>49.4</c:v>
                </c:pt>
                <c:pt idx="11">
                  <c:v>48.6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1F-4D8D-8CC4-C2A5774ACAC8}"/>
            </c:ext>
          </c:extLst>
        </c:ser>
        <c:ser>
          <c:idx val="2"/>
          <c:order val="2"/>
          <c:tx>
            <c:strRef>
              <c:f>List1!$D$1:$D$3</c:f>
              <c:strCache>
                <c:ptCount val="3"/>
                <c:pt idx="1">
                  <c:v>Úroveň zpětného odběru pneumatik</c:v>
                </c:pt>
                <c:pt idx="2">
                  <c:v>%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List1!$A$4:$A$15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List1!$D$4:$D$15</c:f>
              <c:numCache>
                <c:formatCode>#\ ##0.0</c:formatCode>
                <c:ptCount val="12"/>
                <c:pt idx="0">
                  <c:v>79.733554070382368</c:v>
                </c:pt>
                <c:pt idx="1">
                  <c:v>73.967740486139206</c:v>
                </c:pt>
                <c:pt idx="2">
                  <c:v>71.2333031469323</c:v>
                </c:pt>
                <c:pt idx="3">
                  <c:v>67.51263328275104</c:v>
                </c:pt>
                <c:pt idx="4">
                  <c:v>68.573190258199304</c:v>
                </c:pt>
                <c:pt idx="5">
                  <c:v>61.033878824366496</c:v>
                </c:pt>
                <c:pt idx="6">
                  <c:v>59.965991325828249</c:v>
                </c:pt>
                <c:pt idx="7">
                  <c:v>59.413702375739895</c:v>
                </c:pt>
                <c:pt idx="8">
                  <c:v>63.565700224187552</c:v>
                </c:pt>
                <c:pt idx="9">
                  <c:v>68.900000000000006</c:v>
                </c:pt>
                <c:pt idx="10">
                  <c:v>74.099999999999994</c:v>
                </c:pt>
                <c:pt idx="11">
                  <c:v>82.3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1F-4D8D-8CC4-C2A5774AC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1562992"/>
        <c:axId val="471563384"/>
      </c:lineChart>
      <c:catAx>
        <c:axId val="471562992"/>
        <c:scaling>
          <c:orientation val="minMax"/>
        </c:scaling>
        <c:delete val="0"/>
        <c:axPos val="b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1563384"/>
        <c:crosses val="autoZero"/>
        <c:auto val="1"/>
        <c:lblAlgn val="ctr"/>
        <c:lblOffset val="100"/>
        <c:noMultiLvlLbl val="0"/>
      </c:catAx>
      <c:valAx>
        <c:axId val="4715633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156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08050584586018"/>
          <c:y val="0.87195504216721997"/>
          <c:w val="0.71245923963590152"/>
          <c:h val="9.4002364310326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clip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chemeClr val="tx1"/>
                </a:solidFill>
              </a:rPr>
              <a:t>Počet zpracovaných vybraných autovraků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cs-CZ">
                <a:solidFill>
                  <a:schemeClr val="tx1"/>
                </a:solidFill>
              </a:rPr>
              <a:t>dle  MA ISOH [ks]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clip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zpracovaných vybraných autovraků podle systému MA ISOH [ks]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List1!$A$2:$A$13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List1!$B$2:$B$13</c:f>
              <c:numCache>
                <c:formatCode>#,##0</c:formatCode>
                <c:ptCount val="9"/>
                <c:pt idx="0">
                  <c:v>125546</c:v>
                </c:pt>
                <c:pt idx="1">
                  <c:v>121837</c:v>
                </c:pt>
                <c:pt idx="2">
                  <c:v>131987</c:v>
                </c:pt>
                <c:pt idx="3">
                  <c:v>139528</c:v>
                </c:pt>
                <c:pt idx="4">
                  <c:v>145978</c:v>
                </c:pt>
                <c:pt idx="5">
                  <c:v>156214</c:v>
                </c:pt>
                <c:pt idx="6">
                  <c:v>171618</c:v>
                </c:pt>
                <c:pt idx="7">
                  <c:v>178401</c:v>
                </c:pt>
                <c:pt idx="8">
                  <c:v>169623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C7-4DC2-87DB-2997E06EB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1564952"/>
        <c:axId val="567514568"/>
      </c:barChart>
      <c:catAx>
        <c:axId val="47156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7514568"/>
        <c:crosses val="autoZero"/>
        <c:auto val="1"/>
        <c:lblAlgn val="ctr"/>
        <c:lblOffset val="100"/>
        <c:noMultiLvlLbl val="0"/>
      </c:catAx>
      <c:valAx>
        <c:axId val="56751456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1564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2014-03-12T00:00:00</PublishDate>
  <Abstract>Plán odpadového hospodářství České republiky na období 2015 – 2024              (SEA verze)     </Abstract>
  <CompanyAddress>Vršovická 65, Praha 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8FEF9-F76D-4FB5-A5B7-C3E95D3E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124</Pages>
  <Words>37999</Words>
  <Characters>224199</Characters>
  <Application>Microsoft Office Word</Application>
  <DocSecurity>0</DocSecurity>
  <Lines>1868</Lines>
  <Paragraphs>523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odpadového hospodářství ČR</vt:lpstr>
    </vt:vector>
  </TitlesOfParts>
  <Company>Minterstvo životního prostředí</Company>
  <LinksUpToDate>false</LinksUpToDate>
  <CharactersWithSpaces>261675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odpadového hospodářství ČR</dc:title>
  <dc:creator>Odbor odpadů MŽP</dc:creator>
  <cp:lastModifiedBy>Jankovská Michaela</cp:lastModifiedBy>
  <cp:revision>58</cp:revision>
  <cp:lastPrinted>2022-05-25T14:01:00Z</cp:lastPrinted>
  <dcterms:created xsi:type="dcterms:W3CDTF">2022-04-26T20:09:00Z</dcterms:created>
  <dcterms:modified xsi:type="dcterms:W3CDTF">2022-06-06T07:06:00Z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MZP/2022/720/3652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MZP/2022/720/3652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2.6.2022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&lt;TABLE&gt;&lt;TR&gt;&lt;TD&gt;Č.j.:&lt;/TD&gt;&lt;TD&gt;MZP/2022/720/3652&lt;/TD&gt;&lt;/TR&gt;&lt;TR&gt;&lt;TD&gt;&lt;/TD&gt;&lt;TD&gt;&lt;/TD&gt;&lt;/TR&gt;&lt;/TABLE&gt;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odpadů</vt:lpwstr>
  </property>
  <property fmtid="{D5CDD505-2E9C-101B-9397-08002B2CF9AE}" pid="16" name="DisplayName_UserPoriz_Pisemnost">
    <vt:lpwstr>Ing. Jan Nohejl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ENV/2022/233179</vt:lpwstr>
  </property>
  <property fmtid="{D5CDD505-2E9C-101B-9397-08002B2CF9AE}" pid="19" name="Key_BarCode_Pisemnost">
    <vt:lpwstr>*B001299235*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ENV/2022/233179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ZN/MZP/2022/720/245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Zpráva o plnění POH 2019-2022 - materiál pro informaci členů Vlády ČR</vt:lpwstr>
  </property>
  <property fmtid="{D5CDD505-2E9C-101B-9397-08002B2CF9AE}" pid="41" name="Zkratka_SpisovyUzel_PoziceZodpo_Pisemnost">
    <vt:lpwstr>720</vt:lpwstr>
  </property>
</Properties>
</file>